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854B" w14:textId="37B5A37D" w:rsidR="00D00075" w:rsidRPr="00D00075" w:rsidRDefault="002A0AEA" w:rsidP="00D00075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Existing Workforce </w:t>
      </w:r>
      <w:r w:rsidR="00D00075">
        <w:rPr>
          <w:b/>
          <w:bCs/>
          <w:sz w:val="24"/>
          <w:szCs w:val="24"/>
        </w:rPr>
        <w:t xml:space="preserve">- </w:t>
      </w:r>
      <w:r w:rsidR="004F596E">
        <w:rPr>
          <w:b/>
        </w:rPr>
        <w:t xml:space="preserve">SYREC </w:t>
      </w:r>
      <w:r>
        <w:rPr>
          <w:b/>
        </w:rPr>
        <w:t>Existing Workforce</w:t>
      </w:r>
      <w:r w:rsidR="002F1913" w:rsidRPr="002F1913">
        <w:rPr>
          <w:b/>
        </w:rPr>
        <w:t xml:space="preserve"> Sub-Committee</w:t>
      </w:r>
      <w:r w:rsidR="00542C17">
        <w:rPr>
          <w:b/>
        </w:rPr>
        <w:t xml:space="preserve"> - </w:t>
      </w:r>
      <w:r w:rsidR="002F1913" w:rsidRPr="002F1913">
        <w:rPr>
          <w:b/>
        </w:rPr>
        <w:t>Strategy on a Page</w:t>
      </w:r>
    </w:p>
    <w:p w14:paraId="03714941" w14:textId="1870D2A2" w:rsidR="00542C17" w:rsidRPr="00D00075" w:rsidRDefault="008A2255" w:rsidP="00D00075">
      <w:pPr>
        <w:jc w:val="both"/>
        <w:rPr>
          <w:b/>
        </w:rPr>
      </w:pPr>
      <w:r w:rsidRPr="00D95BE5">
        <w:rPr>
          <w:b/>
        </w:rPr>
        <w:t>Overall vision:</w:t>
      </w:r>
      <w:r>
        <w:t xml:space="preserve"> </w:t>
      </w:r>
      <w:r w:rsidR="00DD09D6" w:rsidRPr="00DD09D6">
        <w:t>Focus on parity</w:t>
      </w:r>
      <w:r w:rsidR="004C7FE5">
        <w:t xml:space="preserve"> of esteem within</w:t>
      </w:r>
      <w:r w:rsidR="00DD09D6" w:rsidRPr="00DD09D6">
        <w:t xml:space="preserve"> Health and Social Care</w:t>
      </w:r>
      <w:r w:rsidR="004C7FE5">
        <w:t xml:space="preserve"> roles. </w:t>
      </w:r>
      <w:r w:rsidR="00DD09D6" w:rsidRPr="00DD09D6">
        <w:t>learning needs, gaps, providers, funding and produce </w:t>
      </w:r>
      <w:r w:rsidR="004C7FE5">
        <w:t xml:space="preserve">clear </w:t>
      </w:r>
      <w:r w:rsidR="00DD09D6" w:rsidRPr="00DD09D6">
        <w:rPr>
          <w:b/>
          <w:bCs/>
        </w:rPr>
        <w:t>CAREER MAPS</w:t>
      </w:r>
      <w:r w:rsidR="00DD09D6" w:rsidRPr="00DD09D6">
        <w:t> </w:t>
      </w:r>
      <w:r w:rsidR="004C7FE5">
        <w:t>and opportunity to flourish.</w:t>
      </w:r>
      <w:r w:rsidR="00D00075">
        <w:rPr>
          <w:b/>
        </w:rPr>
        <w:t xml:space="preserve"> </w:t>
      </w:r>
      <w:r w:rsidR="0088481C">
        <w:t>T</w:t>
      </w:r>
      <w:r w:rsidR="00037248">
        <w:t xml:space="preserve">he </w:t>
      </w:r>
      <w:r w:rsidR="002F1913">
        <w:t xml:space="preserve">support required for this strategy </w:t>
      </w:r>
      <w:r w:rsidR="0088481C">
        <w:t xml:space="preserve">will be provided by </w:t>
      </w:r>
      <w:r w:rsidR="002F1913">
        <w:t>SYREC</w:t>
      </w:r>
      <w:r w:rsidR="00037248">
        <w:t xml:space="preserve"> </w:t>
      </w:r>
      <w:r w:rsidR="0088481C">
        <w:t>Future Workforce Programme</w:t>
      </w:r>
      <w:r w:rsidR="00037248">
        <w:t xml:space="preserve"> with guidance, support and ownership from Health and Social Care organisations and other stakeholders working at place. </w:t>
      </w:r>
    </w:p>
    <w:tbl>
      <w:tblPr>
        <w:tblStyle w:val="TableGrid"/>
        <w:tblW w:w="4774" w:type="pct"/>
        <w:tblLook w:val="04A0" w:firstRow="1" w:lastRow="0" w:firstColumn="1" w:lastColumn="0" w:noHBand="0" w:noVBand="1"/>
      </w:tblPr>
      <w:tblGrid>
        <w:gridCol w:w="3316"/>
        <w:gridCol w:w="4741"/>
        <w:gridCol w:w="5261"/>
      </w:tblGrid>
      <w:tr w:rsidR="002F1913" w14:paraId="7C56E682" w14:textId="77777777" w:rsidTr="00037248">
        <w:tc>
          <w:tcPr>
            <w:tcW w:w="1245" w:type="pct"/>
            <w:shd w:val="clear" w:color="auto" w:fill="BFBFBF" w:themeFill="background1" w:themeFillShade="BF"/>
          </w:tcPr>
          <w:p w14:paraId="2C13F7BD" w14:textId="77777777" w:rsidR="002F1913" w:rsidRDefault="002F1913" w:rsidP="002F1913">
            <w:pPr>
              <w:jc w:val="center"/>
              <w:rPr>
                <w:b/>
              </w:rPr>
            </w:pPr>
            <w:r>
              <w:rPr>
                <w:b/>
              </w:rPr>
              <w:t>Strategy Area</w:t>
            </w:r>
          </w:p>
        </w:tc>
        <w:tc>
          <w:tcPr>
            <w:tcW w:w="1780" w:type="pct"/>
            <w:shd w:val="clear" w:color="auto" w:fill="BFBFBF" w:themeFill="background1" w:themeFillShade="BF"/>
          </w:tcPr>
          <w:p w14:paraId="1513DF2F" w14:textId="77777777" w:rsidR="002F1913" w:rsidRDefault="002F1913" w:rsidP="002F1913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975" w:type="pct"/>
            <w:shd w:val="clear" w:color="auto" w:fill="BFBFBF" w:themeFill="background1" w:themeFillShade="BF"/>
          </w:tcPr>
          <w:p w14:paraId="3665D987" w14:textId="77777777" w:rsidR="002F1913" w:rsidRDefault="002F1913" w:rsidP="002F1913">
            <w:pPr>
              <w:jc w:val="center"/>
              <w:rPr>
                <w:b/>
              </w:rPr>
            </w:pPr>
            <w:r>
              <w:rPr>
                <w:b/>
              </w:rPr>
              <w:t>Actions to Support</w:t>
            </w:r>
          </w:p>
        </w:tc>
      </w:tr>
      <w:tr w:rsidR="0088481C" w14:paraId="33E4C19F" w14:textId="77777777" w:rsidTr="0088481C">
        <w:tc>
          <w:tcPr>
            <w:tcW w:w="1245" w:type="pct"/>
            <w:shd w:val="clear" w:color="auto" w:fill="FFFFFF" w:themeFill="background1"/>
          </w:tcPr>
          <w:p w14:paraId="24B46F8E" w14:textId="03B27CD8" w:rsidR="00AC3672" w:rsidRPr="00AC3672" w:rsidRDefault="00AC3672" w:rsidP="00AC3672">
            <w:pPr>
              <w:rPr>
                <w:bCs/>
              </w:rPr>
            </w:pPr>
            <w:r w:rsidRPr="00AC3672">
              <w:rPr>
                <w:bCs/>
              </w:rPr>
              <w:t>Access to English</w:t>
            </w:r>
            <w:r>
              <w:rPr>
                <w:bCs/>
              </w:rPr>
              <w:t>, M</w:t>
            </w:r>
            <w:r w:rsidRPr="00AC3672">
              <w:rPr>
                <w:bCs/>
              </w:rPr>
              <w:t>aths</w:t>
            </w:r>
            <w:r>
              <w:rPr>
                <w:bCs/>
              </w:rPr>
              <w:t xml:space="preserve"> and study Skills</w:t>
            </w:r>
          </w:p>
          <w:p w14:paraId="184FE159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4B84E2C1" w14:textId="04EE440D" w:rsidR="0088481C" w:rsidRPr="0088481C" w:rsidRDefault="00AC3672" w:rsidP="0088481C">
            <w:pPr>
              <w:rPr>
                <w:bCs/>
              </w:rPr>
            </w:pPr>
            <w:r>
              <w:rPr>
                <w:bCs/>
              </w:rPr>
              <w:t>Achieve a complete SYR profile in facilitating care workers fundamental learning</w:t>
            </w:r>
            <w:r w:rsidR="00EA73F4">
              <w:rPr>
                <w:bCs/>
              </w:rPr>
              <w:t xml:space="preserve">, encouraging </w:t>
            </w:r>
          </w:p>
        </w:tc>
        <w:tc>
          <w:tcPr>
            <w:tcW w:w="1975" w:type="pct"/>
            <w:shd w:val="clear" w:color="auto" w:fill="FFFFFF" w:themeFill="background1"/>
          </w:tcPr>
          <w:p w14:paraId="26840A17" w14:textId="77777777" w:rsidR="0088481C" w:rsidRDefault="00E912F7" w:rsidP="00AC3672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Collaborative meeting arranged for 031219 with SYR providers and The Growth Company</w:t>
            </w:r>
          </w:p>
          <w:p w14:paraId="1B9DAD0E" w14:textId="77777777" w:rsidR="00E912F7" w:rsidRDefault="00E912F7" w:rsidP="00AC3672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Develop joint strategy for tackling both inequalities and needs of the community </w:t>
            </w:r>
          </w:p>
          <w:p w14:paraId="43FBF4A2" w14:textId="6B436B72" w:rsidR="00E912F7" w:rsidRPr="00AC3672" w:rsidRDefault="00E912F7" w:rsidP="00AC3672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Establish centres for delivery within communities</w:t>
            </w:r>
          </w:p>
        </w:tc>
      </w:tr>
      <w:tr w:rsidR="0088481C" w14:paraId="58E42E7A" w14:textId="77777777" w:rsidTr="0088481C">
        <w:tc>
          <w:tcPr>
            <w:tcW w:w="1245" w:type="pct"/>
            <w:shd w:val="clear" w:color="auto" w:fill="FFFFFF" w:themeFill="background1"/>
          </w:tcPr>
          <w:p w14:paraId="09318AA5" w14:textId="77777777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 xml:space="preserve">Awareness of Workforce Development funding </w:t>
            </w:r>
          </w:p>
          <w:p w14:paraId="774E6D03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16B8FD3C" w14:textId="3C70D29C" w:rsidR="0088481C" w:rsidRPr="0088481C" w:rsidRDefault="007115EA" w:rsidP="0088481C">
            <w:pPr>
              <w:rPr>
                <w:bCs/>
              </w:rPr>
            </w:pPr>
            <w:r>
              <w:rPr>
                <w:bCs/>
              </w:rPr>
              <w:t>Engage stakeholders across H&amp;SC to work in partnership and collaboratively seek funding to achieve SYREC strategic outcomes</w:t>
            </w:r>
          </w:p>
        </w:tc>
        <w:tc>
          <w:tcPr>
            <w:tcW w:w="1975" w:type="pct"/>
            <w:shd w:val="clear" w:color="auto" w:fill="FFFFFF" w:themeFill="background1"/>
          </w:tcPr>
          <w:p w14:paraId="299564C5" w14:textId="7E8D9324" w:rsidR="0088481C" w:rsidRDefault="00E912F7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Develop funding opportunities through members networks </w:t>
            </w:r>
          </w:p>
          <w:p w14:paraId="3B45B9F9" w14:textId="7225A361" w:rsidR="00E912F7" w:rsidRDefault="00E912F7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Members identify all available funding streams- collate</w:t>
            </w:r>
          </w:p>
          <w:p w14:paraId="04F2A54C" w14:textId="77777777" w:rsidR="00E912F7" w:rsidRDefault="00E912F7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Share with other workstreams and identify other bid writing members – diarise the bid deadlines</w:t>
            </w:r>
            <w:r w:rsidR="00D00075">
              <w:rPr>
                <w:bCs/>
                <w:sz w:val="18"/>
                <w:szCs w:val="18"/>
              </w:rPr>
              <w:t xml:space="preserve"> </w:t>
            </w:r>
          </w:p>
          <w:p w14:paraId="51D7A510" w14:textId="03D9396A" w:rsidR="00D00075" w:rsidRPr="005E339E" w:rsidRDefault="00D00075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Produce Funding Calendar </w:t>
            </w:r>
          </w:p>
        </w:tc>
      </w:tr>
      <w:tr w:rsidR="0088481C" w14:paraId="2D6253F8" w14:textId="77777777" w:rsidTr="0088481C">
        <w:tc>
          <w:tcPr>
            <w:tcW w:w="1245" w:type="pct"/>
            <w:shd w:val="clear" w:color="auto" w:fill="FFFFFF" w:themeFill="background1"/>
          </w:tcPr>
          <w:p w14:paraId="51335A21" w14:textId="1908EB18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 xml:space="preserve">Support </w:t>
            </w:r>
            <w:r w:rsidR="00AC3672">
              <w:rPr>
                <w:bCs/>
              </w:rPr>
              <w:t>‘</w:t>
            </w:r>
            <w:r w:rsidRPr="0088481C">
              <w:rPr>
                <w:bCs/>
              </w:rPr>
              <w:t>Up skilling</w:t>
            </w:r>
            <w:r w:rsidR="00AC3672">
              <w:rPr>
                <w:bCs/>
              </w:rPr>
              <w:t>’</w:t>
            </w:r>
            <w:r w:rsidRPr="0088481C">
              <w:rPr>
                <w:bCs/>
              </w:rPr>
              <w:t xml:space="preserve"> to facilitate the transfer into new roles</w:t>
            </w:r>
          </w:p>
          <w:p w14:paraId="0383B098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6E1A57F6" w14:textId="03C27536" w:rsidR="0088481C" w:rsidRPr="0088481C" w:rsidRDefault="007115EA" w:rsidP="0088481C">
            <w:pPr>
              <w:rPr>
                <w:bCs/>
              </w:rPr>
            </w:pPr>
            <w:r>
              <w:rPr>
                <w:bCs/>
              </w:rPr>
              <w:t>Utilise skills and knowledge gap intelligence from stakeholders to inform the CASS CP and educational providers in order to future proof our workforce</w:t>
            </w:r>
          </w:p>
        </w:tc>
        <w:tc>
          <w:tcPr>
            <w:tcW w:w="1975" w:type="pct"/>
            <w:shd w:val="clear" w:color="auto" w:fill="FFFFFF" w:themeFill="background1"/>
          </w:tcPr>
          <w:p w14:paraId="05FB8794" w14:textId="77777777" w:rsidR="0088481C" w:rsidRDefault="00E912F7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Gather intelligence through members networks</w:t>
            </w:r>
          </w:p>
          <w:p w14:paraId="3010FBA0" w14:textId="77777777" w:rsidR="00E912F7" w:rsidRDefault="00E912F7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‘Shopping list’ of courses needed </w:t>
            </w:r>
          </w:p>
          <w:p w14:paraId="03AD60AC" w14:textId="47C11A7A" w:rsidR="00E912F7" w:rsidRPr="005E339E" w:rsidRDefault="00E912F7" w:rsidP="005E339E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Share list with providers and engage them in the intelligence for bespoke delivery</w:t>
            </w:r>
          </w:p>
        </w:tc>
      </w:tr>
      <w:tr w:rsidR="0088481C" w14:paraId="5EB2675E" w14:textId="77777777" w:rsidTr="0088481C">
        <w:tc>
          <w:tcPr>
            <w:tcW w:w="1245" w:type="pct"/>
            <w:shd w:val="clear" w:color="auto" w:fill="FFFFFF" w:themeFill="background1"/>
          </w:tcPr>
          <w:p w14:paraId="445ADE83" w14:textId="77777777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 xml:space="preserve">Actively encouraging Parity of Esteem in roles across the H&amp;SC </w:t>
            </w:r>
          </w:p>
          <w:p w14:paraId="6D1713B7" w14:textId="77777777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>landscape</w:t>
            </w:r>
          </w:p>
          <w:p w14:paraId="601EDA13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1AA0ED70" w14:textId="3F7C540D" w:rsidR="0088481C" w:rsidRPr="0088481C" w:rsidRDefault="00AC3672" w:rsidP="0088481C">
            <w:pPr>
              <w:rPr>
                <w:bCs/>
              </w:rPr>
            </w:pPr>
            <w:r>
              <w:rPr>
                <w:bCs/>
              </w:rPr>
              <w:t>Throughout the H&amp;SC align the roles to facilitate take up in all sectors</w:t>
            </w:r>
            <w:r w:rsidR="007115EA">
              <w:rPr>
                <w:bCs/>
              </w:rPr>
              <w:t xml:space="preserve"> and allow movement of the workforce with fluidity</w:t>
            </w:r>
            <w:r w:rsidR="009652C9">
              <w:rPr>
                <w:bCs/>
              </w:rPr>
              <w:t>. B</w:t>
            </w:r>
            <w:r w:rsidR="00212DDE">
              <w:rPr>
                <w:bCs/>
              </w:rPr>
              <w:t>ui</w:t>
            </w:r>
            <w:r w:rsidR="009652C9">
              <w:rPr>
                <w:bCs/>
              </w:rPr>
              <w:t>lding the long lasting relationships needed to succeed.</w:t>
            </w:r>
          </w:p>
        </w:tc>
        <w:tc>
          <w:tcPr>
            <w:tcW w:w="1975" w:type="pct"/>
            <w:shd w:val="clear" w:color="auto" w:fill="FFFFFF" w:themeFill="background1"/>
          </w:tcPr>
          <w:p w14:paraId="06A3655A" w14:textId="37321E06" w:rsidR="00D00075" w:rsidRDefault="00D00075" w:rsidP="00E912F7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Placement - Task and Finish Group commencing early 2020</w:t>
            </w:r>
            <w:bookmarkStart w:id="0" w:name="_GoBack"/>
            <w:bookmarkEnd w:id="0"/>
          </w:p>
          <w:p w14:paraId="56513765" w14:textId="6D26DAC3" w:rsidR="00E912F7" w:rsidRPr="00E912F7" w:rsidRDefault="00E912F7" w:rsidP="00E912F7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Offer guidance to schools’ engagement workstream on the promotion of ambassadors and working together to support each other’s sectors</w:t>
            </w:r>
          </w:p>
          <w:p w14:paraId="465803DC" w14:textId="11658935" w:rsidR="00E912F7" w:rsidRDefault="00E912F7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Support the Ambassadorship programme by actively promoting the virtues of ambassadors </w:t>
            </w:r>
          </w:p>
          <w:p w14:paraId="2AC18FB2" w14:textId="1C6B06CE" w:rsidR="00E912F7" w:rsidRPr="007115EA" w:rsidRDefault="00E912F7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Recruit Ambassadors </w:t>
            </w:r>
            <w:r w:rsidR="00D33D7B">
              <w:rPr>
                <w:bCs/>
                <w:sz w:val="18"/>
                <w:szCs w:val="18"/>
              </w:rPr>
              <w:t>in own networks</w:t>
            </w:r>
          </w:p>
        </w:tc>
      </w:tr>
      <w:tr w:rsidR="0088481C" w14:paraId="6116809B" w14:textId="77777777" w:rsidTr="0088481C">
        <w:tc>
          <w:tcPr>
            <w:tcW w:w="1245" w:type="pct"/>
            <w:shd w:val="clear" w:color="auto" w:fill="FFFFFF" w:themeFill="background1"/>
          </w:tcPr>
          <w:p w14:paraId="64B650DD" w14:textId="77777777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 xml:space="preserve">Create the connectivity into the Apprenticeship Workstream to develop joint strategic approach </w:t>
            </w:r>
          </w:p>
          <w:p w14:paraId="4E685683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13CBC426" w14:textId="3C760D78" w:rsidR="0088481C" w:rsidRPr="0088481C" w:rsidRDefault="007115EA" w:rsidP="0088481C">
            <w:pPr>
              <w:rPr>
                <w:bCs/>
              </w:rPr>
            </w:pPr>
            <w:r>
              <w:rPr>
                <w:bCs/>
              </w:rPr>
              <w:t>Continue to build on the symbiotic relationship with the Apprenticeship Workstream (SYREC) creating opportunity and growth within our H&amp;SC workforce</w:t>
            </w:r>
          </w:p>
        </w:tc>
        <w:tc>
          <w:tcPr>
            <w:tcW w:w="1975" w:type="pct"/>
            <w:shd w:val="clear" w:color="auto" w:fill="FFFFFF" w:themeFill="background1"/>
          </w:tcPr>
          <w:p w14:paraId="3A4B93CC" w14:textId="77777777" w:rsidR="00E912F7" w:rsidRPr="00E912F7" w:rsidRDefault="00E912F7" w:rsidP="00E912F7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E912F7">
              <w:rPr>
                <w:bCs/>
                <w:sz w:val="18"/>
                <w:szCs w:val="18"/>
              </w:rPr>
              <w:t xml:space="preserve">Arrange presentation by SYREC Apprenticeship Lead – Pam Case for January 2020 meeting </w:t>
            </w:r>
          </w:p>
          <w:p w14:paraId="0B309025" w14:textId="35648AA0" w:rsidR="0088481C" w:rsidRPr="007115EA" w:rsidRDefault="00D00075" w:rsidP="00E912F7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Further develop the</w:t>
            </w:r>
            <w:r w:rsidR="00E912F7" w:rsidRPr="00E912F7">
              <w:rPr>
                <w:bCs/>
                <w:sz w:val="18"/>
                <w:szCs w:val="18"/>
              </w:rPr>
              <w:t xml:space="preserve"> joint partnership across two workstreams FW and Apprenticeship – sub group</w:t>
            </w:r>
          </w:p>
        </w:tc>
      </w:tr>
      <w:tr w:rsidR="0088481C" w14:paraId="00E4E32A" w14:textId="77777777" w:rsidTr="0088481C">
        <w:tc>
          <w:tcPr>
            <w:tcW w:w="1245" w:type="pct"/>
            <w:shd w:val="clear" w:color="auto" w:fill="FFFFFF" w:themeFill="background1"/>
          </w:tcPr>
          <w:p w14:paraId="65588368" w14:textId="77777777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 xml:space="preserve">Support providers to develop and/or adapt Continuous Personal Development (CPD) delivery models </w:t>
            </w:r>
          </w:p>
          <w:p w14:paraId="28E8F7BC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0C74B440" w14:textId="17181A42" w:rsidR="0088481C" w:rsidRPr="0088481C" w:rsidRDefault="005E339E" w:rsidP="0088481C">
            <w:pPr>
              <w:rPr>
                <w:bCs/>
              </w:rPr>
            </w:pPr>
            <w:r>
              <w:rPr>
                <w:bCs/>
              </w:rPr>
              <w:t>Identifying good practice and actively encouraging throughout the sectors, removing barriers where identified</w:t>
            </w:r>
          </w:p>
        </w:tc>
        <w:tc>
          <w:tcPr>
            <w:tcW w:w="1975" w:type="pct"/>
            <w:shd w:val="clear" w:color="auto" w:fill="FFFFFF" w:themeFill="background1"/>
          </w:tcPr>
          <w:p w14:paraId="2A497AAD" w14:textId="17F8EDFE" w:rsidR="0088481C" w:rsidRDefault="00D33D7B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Members to seek best practice models </w:t>
            </w:r>
          </w:p>
          <w:p w14:paraId="43CEEA03" w14:textId="78951F9A" w:rsidR="00D33D7B" w:rsidRDefault="00D33D7B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Identify barriers ie time/cultural attitude </w:t>
            </w:r>
          </w:p>
          <w:p w14:paraId="0D70206E" w14:textId="4D2EB87C" w:rsidR="00D33D7B" w:rsidRDefault="00D33D7B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Seek support from ICS to remove barriers</w:t>
            </w:r>
          </w:p>
          <w:p w14:paraId="7433C3A1" w14:textId="2B95415A" w:rsidR="00D33D7B" w:rsidRPr="007115EA" w:rsidRDefault="00D33D7B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Agree best practice models and share in networks </w:t>
            </w:r>
          </w:p>
        </w:tc>
      </w:tr>
      <w:tr w:rsidR="0088481C" w14:paraId="50C83BEA" w14:textId="77777777" w:rsidTr="0088481C">
        <w:tc>
          <w:tcPr>
            <w:tcW w:w="1245" w:type="pct"/>
            <w:shd w:val="clear" w:color="auto" w:fill="FFFFFF" w:themeFill="background1"/>
          </w:tcPr>
          <w:p w14:paraId="60725058" w14:textId="77777777" w:rsidR="0088481C" w:rsidRPr="0088481C" w:rsidRDefault="0088481C" w:rsidP="0088481C">
            <w:pPr>
              <w:rPr>
                <w:bCs/>
              </w:rPr>
            </w:pPr>
            <w:r w:rsidRPr="0088481C">
              <w:rPr>
                <w:bCs/>
              </w:rPr>
              <w:t>Mapping Care and Support Staff Career Pathway to CPD plans</w:t>
            </w:r>
          </w:p>
          <w:p w14:paraId="76E3A00A" w14:textId="77777777" w:rsidR="0088481C" w:rsidRPr="0088481C" w:rsidRDefault="0088481C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157FA54F" w14:textId="7C2562A2" w:rsidR="0088481C" w:rsidRPr="0088481C" w:rsidRDefault="005E339E" w:rsidP="0088481C">
            <w:pPr>
              <w:rPr>
                <w:bCs/>
              </w:rPr>
            </w:pPr>
            <w:r>
              <w:rPr>
                <w:bCs/>
              </w:rPr>
              <w:t>Online facilitation of the CASS CP clearly identifying progress routes</w:t>
            </w:r>
          </w:p>
        </w:tc>
        <w:tc>
          <w:tcPr>
            <w:tcW w:w="1975" w:type="pct"/>
            <w:shd w:val="clear" w:color="auto" w:fill="FFFFFF" w:themeFill="background1"/>
          </w:tcPr>
          <w:p w14:paraId="25A4605B" w14:textId="5B9EF4C0" w:rsidR="0088481C" w:rsidRPr="00E80E42" w:rsidRDefault="00D33D7B" w:rsidP="00E80E42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Develop online transfer of CASS CP from final draft to system</w:t>
            </w:r>
            <w:r w:rsidRPr="00E80E42">
              <w:rPr>
                <w:bCs/>
                <w:sz w:val="18"/>
                <w:szCs w:val="18"/>
              </w:rPr>
              <w:t xml:space="preserve"> </w:t>
            </w:r>
          </w:p>
          <w:p w14:paraId="5CF57CF9" w14:textId="30DDBB1F" w:rsidR="00EE22BD" w:rsidRPr="007115EA" w:rsidRDefault="00EE22BD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Launch 2020</w:t>
            </w:r>
          </w:p>
        </w:tc>
      </w:tr>
      <w:tr w:rsidR="00CC0514" w14:paraId="34F1CA86" w14:textId="77777777" w:rsidTr="0088481C">
        <w:trPr>
          <w:trHeight w:val="339"/>
        </w:trPr>
        <w:tc>
          <w:tcPr>
            <w:tcW w:w="1245" w:type="pct"/>
            <w:shd w:val="clear" w:color="auto" w:fill="FFFFFF" w:themeFill="background1"/>
          </w:tcPr>
          <w:p w14:paraId="76DE18BE" w14:textId="77777777" w:rsidR="0088481C" w:rsidRPr="0088481C" w:rsidRDefault="0088481C" w:rsidP="0088481C">
            <w:pPr>
              <w:jc w:val="both"/>
              <w:rPr>
                <w:bCs/>
              </w:rPr>
            </w:pPr>
            <w:r w:rsidRPr="0088481C">
              <w:rPr>
                <w:bCs/>
              </w:rPr>
              <w:t xml:space="preserve">Values Based Recruitment </w:t>
            </w:r>
          </w:p>
          <w:p w14:paraId="47A86B6E" w14:textId="4D00A892" w:rsidR="00CC0514" w:rsidRPr="0088481C" w:rsidRDefault="00CC0514" w:rsidP="0088481C">
            <w:pPr>
              <w:rPr>
                <w:bCs/>
              </w:rPr>
            </w:pPr>
          </w:p>
        </w:tc>
        <w:tc>
          <w:tcPr>
            <w:tcW w:w="1780" w:type="pct"/>
            <w:shd w:val="clear" w:color="auto" w:fill="FFFFFF" w:themeFill="background1"/>
          </w:tcPr>
          <w:p w14:paraId="232E3A7F" w14:textId="74CA33DF" w:rsidR="005E7FA7" w:rsidRPr="00455B9B" w:rsidRDefault="006574D0" w:rsidP="00455B9B">
            <w:pPr>
              <w:rPr>
                <w:bCs/>
              </w:rPr>
            </w:pPr>
            <w:r>
              <w:rPr>
                <w:bCs/>
              </w:rPr>
              <w:t xml:space="preserve">Encourage the spread of good VBR and the benefits </w:t>
            </w:r>
            <w:r w:rsidR="00282575">
              <w:rPr>
                <w:bCs/>
              </w:rPr>
              <w:t>achieved</w:t>
            </w:r>
            <w:r>
              <w:rPr>
                <w:bCs/>
              </w:rPr>
              <w:t xml:space="preserve"> from this practice</w:t>
            </w:r>
          </w:p>
        </w:tc>
        <w:tc>
          <w:tcPr>
            <w:tcW w:w="1975" w:type="pct"/>
            <w:shd w:val="clear" w:color="auto" w:fill="FFFFFF" w:themeFill="background1"/>
          </w:tcPr>
          <w:p w14:paraId="50BAF028" w14:textId="77777777" w:rsidR="005E7FA7" w:rsidRDefault="00B00E5D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Identify community based stakeholders using VBR</w:t>
            </w:r>
          </w:p>
          <w:p w14:paraId="3F86E451" w14:textId="5DF60A1E" w:rsidR="00B00E5D" w:rsidRPr="00AC3672" w:rsidRDefault="00B00E5D" w:rsidP="007115EA">
            <w:pPr>
              <w:pStyle w:val="ListParagraph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Develop a VBR Toolkit</w:t>
            </w:r>
            <w:r w:rsidR="00C826FC">
              <w:rPr>
                <w:bCs/>
                <w:sz w:val="18"/>
                <w:szCs w:val="18"/>
              </w:rPr>
              <w:t xml:space="preserve"> – sharing good practice</w:t>
            </w:r>
          </w:p>
        </w:tc>
      </w:tr>
    </w:tbl>
    <w:p w14:paraId="4E5C8C49" w14:textId="77777777" w:rsidR="002F1913" w:rsidRDefault="002F1913" w:rsidP="00612F45"/>
    <w:sectPr w:rsidR="002F1913" w:rsidSect="001C59DE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CE"/>
    <w:multiLevelType w:val="hybridMultilevel"/>
    <w:tmpl w:val="9E0A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9FF"/>
    <w:multiLevelType w:val="hybridMultilevel"/>
    <w:tmpl w:val="BCF0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7BF"/>
    <w:multiLevelType w:val="hybridMultilevel"/>
    <w:tmpl w:val="51FC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C9A"/>
    <w:multiLevelType w:val="hybridMultilevel"/>
    <w:tmpl w:val="594C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6DE"/>
    <w:multiLevelType w:val="hybridMultilevel"/>
    <w:tmpl w:val="192ABA44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4AE74483"/>
    <w:multiLevelType w:val="hybridMultilevel"/>
    <w:tmpl w:val="1C64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17BB0"/>
    <w:multiLevelType w:val="hybridMultilevel"/>
    <w:tmpl w:val="B534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6008"/>
    <w:multiLevelType w:val="hybridMultilevel"/>
    <w:tmpl w:val="221A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0BD0"/>
    <w:multiLevelType w:val="hybridMultilevel"/>
    <w:tmpl w:val="3D1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7A88"/>
    <w:multiLevelType w:val="hybridMultilevel"/>
    <w:tmpl w:val="E744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03C9"/>
    <w:multiLevelType w:val="hybridMultilevel"/>
    <w:tmpl w:val="BD88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3522"/>
    <w:multiLevelType w:val="hybridMultilevel"/>
    <w:tmpl w:val="4348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132"/>
    <w:multiLevelType w:val="hybridMultilevel"/>
    <w:tmpl w:val="39A0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C1"/>
    <w:rsid w:val="00037248"/>
    <w:rsid w:val="000A2C23"/>
    <w:rsid w:val="001063E6"/>
    <w:rsid w:val="001C59DE"/>
    <w:rsid w:val="00212DDE"/>
    <w:rsid w:val="00282575"/>
    <w:rsid w:val="002A0AEA"/>
    <w:rsid w:val="002F1913"/>
    <w:rsid w:val="0033615A"/>
    <w:rsid w:val="003535DB"/>
    <w:rsid w:val="003E42F8"/>
    <w:rsid w:val="00455B9B"/>
    <w:rsid w:val="004A1C1D"/>
    <w:rsid w:val="004C7FE5"/>
    <w:rsid w:val="004F596E"/>
    <w:rsid w:val="00542C17"/>
    <w:rsid w:val="00545FEB"/>
    <w:rsid w:val="00580D24"/>
    <w:rsid w:val="005E339E"/>
    <w:rsid w:val="005E7FA7"/>
    <w:rsid w:val="00612F45"/>
    <w:rsid w:val="006574D0"/>
    <w:rsid w:val="006F52FD"/>
    <w:rsid w:val="007115EA"/>
    <w:rsid w:val="00806F64"/>
    <w:rsid w:val="00826A7A"/>
    <w:rsid w:val="0088481C"/>
    <w:rsid w:val="008A2255"/>
    <w:rsid w:val="009652C9"/>
    <w:rsid w:val="009C2655"/>
    <w:rsid w:val="009D592D"/>
    <w:rsid w:val="00A40661"/>
    <w:rsid w:val="00A64ADA"/>
    <w:rsid w:val="00AC3672"/>
    <w:rsid w:val="00B00E5D"/>
    <w:rsid w:val="00B652F7"/>
    <w:rsid w:val="00B949F8"/>
    <w:rsid w:val="00C30BC1"/>
    <w:rsid w:val="00C40087"/>
    <w:rsid w:val="00C74B1F"/>
    <w:rsid w:val="00C826FC"/>
    <w:rsid w:val="00CC0514"/>
    <w:rsid w:val="00D00075"/>
    <w:rsid w:val="00D33D7B"/>
    <w:rsid w:val="00D95BE5"/>
    <w:rsid w:val="00DD09D6"/>
    <w:rsid w:val="00E020E2"/>
    <w:rsid w:val="00E80E42"/>
    <w:rsid w:val="00E912F7"/>
    <w:rsid w:val="00EA73F4"/>
    <w:rsid w:val="00EE22BD"/>
    <w:rsid w:val="00F16423"/>
    <w:rsid w:val="00F27AB1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74FE"/>
  <w15:docId w15:val="{3B436675-89B3-41EE-BBE3-85842EE7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NHS Foundation Trust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 James;Senior Learning and Development Partner</dc:creator>
  <cp:lastModifiedBy>Jo Cameron</cp:lastModifiedBy>
  <cp:revision>22</cp:revision>
  <cp:lastPrinted>2019-08-22T09:11:00Z</cp:lastPrinted>
  <dcterms:created xsi:type="dcterms:W3CDTF">2019-10-08T16:17:00Z</dcterms:created>
  <dcterms:modified xsi:type="dcterms:W3CDTF">2019-12-27T08:04:00Z</dcterms:modified>
</cp:coreProperties>
</file>