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EFFA6" w14:textId="2CC2B125" w:rsidR="001C59DE" w:rsidRPr="003E42F8" w:rsidRDefault="004F596E" w:rsidP="002F191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Schools Engagement</w:t>
      </w:r>
    </w:p>
    <w:p w14:paraId="2B525820" w14:textId="569B9153" w:rsidR="002F1913" w:rsidRDefault="004F596E" w:rsidP="00542C17">
      <w:pPr>
        <w:jc w:val="center"/>
        <w:rPr>
          <w:b/>
        </w:rPr>
      </w:pPr>
      <w:r>
        <w:rPr>
          <w:b/>
        </w:rPr>
        <w:t>SYREC Schools</w:t>
      </w:r>
      <w:r w:rsidR="002F1913" w:rsidRPr="002F1913">
        <w:rPr>
          <w:b/>
        </w:rPr>
        <w:t xml:space="preserve"> Engagement Sub-Committee</w:t>
      </w:r>
      <w:r w:rsidR="00542C17">
        <w:rPr>
          <w:b/>
        </w:rPr>
        <w:t xml:space="preserve"> - </w:t>
      </w:r>
      <w:r w:rsidR="002F1913" w:rsidRPr="002F1913">
        <w:rPr>
          <w:b/>
        </w:rPr>
        <w:t>Strategy on a Page</w:t>
      </w:r>
    </w:p>
    <w:p w14:paraId="110B8EC8" w14:textId="7F278075" w:rsidR="00542C17" w:rsidRDefault="008A2255" w:rsidP="002F1913">
      <w:r w:rsidRPr="00D95BE5">
        <w:rPr>
          <w:b/>
        </w:rPr>
        <w:t>Overall vision:</w:t>
      </w:r>
      <w:r>
        <w:t xml:space="preserve"> </w:t>
      </w:r>
      <w:r w:rsidR="004F596E">
        <w:t>to inspire a new generation workforce into Health and Social Care</w:t>
      </w:r>
    </w:p>
    <w:p w14:paraId="03714941" w14:textId="07B8E0D0" w:rsidR="00542C17" w:rsidRPr="002F1913" w:rsidRDefault="002F1913" w:rsidP="002F1913">
      <w:r>
        <w:t xml:space="preserve">It is anticipated that </w:t>
      </w:r>
      <w:r w:rsidR="00037248">
        <w:t xml:space="preserve">the </w:t>
      </w:r>
      <w:r>
        <w:t xml:space="preserve">support required for this strategy </w:t>
      </w:r>
      <w:r w:rsidR="00037248">
        <w:t xml:space="preserve">will be provided form the </w:t>
      </w:r>
      <w:r>
        <w:t>SYREC</w:t>
      </w:r>
      <w:r w:rsidR="00037248">
        <w:t xml:space="preserve"> Schools Engagement team with guidance, support and ownership from Health and Social Care organisations and other stakeholders working at place. </w:t>
      </w:r>
    </w:p>
    <w:tbl>
      <w:tblPr>
        <w:tblStyle w:val="TableGrid"/>
        <w:tblW w:w="4774" w:type="pct"/>
        <w:tblLook w:val="04A0" w:firstRow="1" w:lastRow="0" w:firstColumn="1" w:lastColumn="0" w:noHBand="0" w:noVBand="1"/>
      </w:tblPr>
      <w:tblGrid>
        <w:gridCol w:w="3316"/>
        <w:gridCol w:w="4741"/>
        <w:gridCol w:w="5261"/>
      </w:tblGrid>
      <w:tr w:rsidR="002F1913" w14:paraId="7C56E682" w14:textId="77777777" w:rsidTr="00037248">
        <w:tc>
          <w:tcPr>
            <w:tcW w:w="1245" w:type="pct"/>
            <w:shd w:val="clear" w:color="auto" w:fill="BFBFBF" w:themeFill="background1" w:themeFillShade="BF"/>
          </w:tcPr>
          <w:p w14:paraId="2C13F7BD" w14:textId="77777777" w:rsidR="002F1913" w:rsidRDefault="002F1913" w:rsidP="002F1913">
            <w:pPr>
              <w:jc w:val="center"/>
              <w:rPr>
                <w:b/>
              </w:rPr>
            </w:pPr>
            <w:r>
              <w:rPr>
                <w:b/>
              </w:rPr>
              <w:t>Strategy Area</w:t>
            </w:r>
          </w:p>
        </w:tc>
        <w:tc>
          <w:tcPr>
            <w:tcW w:w="1780" w:type="pct"/>
            <w:shd w:val="clear" w:color="auto" w:fill="BFBFBF" w:themeFill="background1" w:themeFillShade="BF"/>
          </w:tcPr>
          <w:p w14:paraId="1513DF2F" w14:textId="77777777" w:rsidR="002F1913" w:rsidRDefault="002F1913" w:rsidP="002F1913">
            <w:pPr>
              <w:jc w:val="center"/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1975" w:type="pct"/>
            <w:shd w:val="clear" w:color="auto" w:fill="BFBFBF" w:themeFill="background1" w:themeFillShade="BF"/>
          </w:tcPr>
          <w:p w14:paraId="3665D987" w14:textId="77777777" w:rsidR="002F1913" w:rsidRDefault="002F1913" w:rsidP="002F1913">
            <w:pPr>
              <w:jc w:val="center"/>
              <w:rPr>
                <w:b/>
              </w:rPr>
            </w:pPr>
            <w:r>
              <w:rPr>
                <w:b/>
              </w:rPr>
              <w:t>Actions to Support</w:t>
            </w:r>
          </w:p>
        </w:tc>
      </w:tr>
      <w:tr w:rsidR="00CC0514" w14:paraId="34F1CA86" w14:textId="77777777" w:rsidTr="00037248">
        <w:trPr>
          <w:trHeight w:val="339"/>
        </w:trPr>
        <w:tc>
          <w:tcPr>
            <w:tcW w:w="1245" w:type="pct"/>
          </w:tcPr>
          <w:p w14:paraId="47A86B6E" w14:textId="3AF33B04" w:rsidR="00CC0514" w:rsidRDefault="00CC0514" w:rsidP="00037248">
            <w:r>
              <w:t>Develop intelligence around schools engagement and careers opportunities</w:t>
            </w:r>
          </w:p>
        </w:tc>
        <w:tc>
          <w:tcPr>
            <w:tcW w:w="1780" w:type="pct"/>
          </w:tcPr>
          <w:p w14:paraId="480BA351" w14:textId="01557717" w:rsidR="00CC0514" w:rsidRDefault="00CC0514" w:rsidP="00C40087">
            <w:pPr>
              <w:pStyle w:val="ListParagraph"/>
              <w:numPr>
                <w:ilvl w:val="0"/>
                <w:numId w:val="7"/>
              </w:numPr>
              <w:ind w:left="458" w:hanging="426"/>
            </w:pPr>
            <w:r>
              <w:t xml:space="preserve">workforce and labour market </w:t>
            </w:r>
            <w:r w:rsidR="00C40087">
              <w:t>intelligence</w:t>
            </w:r>
          </w:p>
          <w:p w14:paraId="67B6E06B" w14:textId="28681671" w:rsidR="00CC0514" w:rsidRDefault="00C40087" w:rsidP="00CC0514">
            <w:pPr>
              <w:pStyle w:val="ListParagraph"/>
              <w:numPr>
                <w:ilvl w:val="0"/>
                <w:numId w:val="7"/>
              </w:numPr>
              <w:ind w:left="458" w:hanging="426"/>
            </w:pPr>
            <w:r>
              <w:t>best practice model(s) identified for solutions</w:t>
            </w:r>
          </w:p>
          <w:p w14:paraId="1C549E68" w14:textId="77777777" w:rsidR="00C40087" w:rsidRDefault="00E020E2" w:rsidP="00C40087">
            <w:pPr>
              <w:pStyle w:val="ListParagraph"/>
              <w:numPr>
                <w:ilvl w:val="0"/>
                <w:numId w:val="7"/>
              </w:numPr>
              <w:ind w:left="458" w:hanging="426"/>
            </w:pPr>
            <w:r>
              <w:t>efficiency</w:t>
            </w:r>
          </w:p>
          <w:p w14:paraId="232E3A7F" w14:textId="754DB04E" w:rsidR="005E7FA7" w:rsidRDefault="005E7FA7" w:rsidP="00C40087">
            <w:pPr>
              <w:pStyle w:val="ListParagraph"/>
              <w:numPr>
                <w:ilvl w:val="0"/>
                <w:numId w:val="7"/>
              </w:numPr>
              <w:ind w:left="458" w:hanging="426"/>
            </w:pPr>
            <w:r>
              <w:t>barriers to health and social care and stereotypes</w:t>
            </w:r>
          </w:p>
        </w:tc>
        <w:tc>
          <w:tcPr>
            <w:tcW w:w="1975" w:type="pct"/>
          </w:tcPr>
          <w:p w14:paraId="41CD26F6" w14:textId="77777777" w:rsidR="00C40087" w:rsidRDefault="00C40087" w:rsidP="00037248">
            <w:pPr>
              <w:pStyle w:val="ListParagraph"/>
              <w:numPr>
                <w:ilvl w:val="0"/>
                <w:numId w:val="7"/>
              </w:numPr>
              <w:ind w:left="493" w:hanging="284"/>
            </w:pPr>
            <w:r>
              <w:t>Quantify workforce and labour market issues</w:t>
            </w:r>
          </w:p>
          <w:p w14:paraId="765C941D" w14:textId="59C5A7B7" w:rsidR="00C40087" w:rsidRDefault="00C40087" w:rsidP="00037248">
            <w:pPr>
              <w:pStyle w:val="ListParagraph"/>
              <w:numPr>
                <w:ilvl w:val="0"/>
                <w:numId w:val="7"/>
              </w:numPr>
              <w:ind w:left="493" w:hanging="284"/>
            </w:pPr>
            <w:r>
              <w:t>Understand best practice</w:t>
            </w:r>
          </w:p>
          <w:p w14:paraId="075083A0" w14:textId="6BB93741" w:rsidR="00C40087" w:rsidRDefault="00C40087" w:rsidP="00037248">
            <w:pPr>
              <w:pStyle w:val="ListParagraph"/>
              <w:numPr>
                <w:ilvl w:val="0"/>
                <w:numId w:val="7"/>
              </w:numPr>
              <w:ind w:left="493" w:hanging="284"/>
            </w:pPr>
            <w:r>
              <w:t>Scope what is already happening</w:t>
            </w:r>
          </w:p>
          <w:p w14:paraId="407186D7" w14:textId="77777777" w:rsidR="00CC0514" w:rsidRDefault="00C40087" w:rsidP="00037248">
            <w:pPr>
              <w:pStyle w:val="ListParagraph"/>
              <w:numPr>
                <w:ilvl w:val="0"/>
                <w:numId w:val="7"/>
              </w:numPr>
              <w:ind w:left="493" w:hanging="284"/>
            </w:pPr>
            <w:r>
              <w:t>Engage or align with existing activities and good practice where appropriate</w:t>
            </w:r>
          </w:p>
          <w:p w14:paraId="3F86E451" w14:textId="54AF4C62" w:rsidR="005E7FA7" w:rsidRDefault="005E7FA7" w:rsidP="00037248">
            <w:pPr>
              <w:pStyle w:val="ListParagraph"/>
              <w:ind w:left="493" w:hanging="284"/>
            </w:pPr>
          </w:p>
        </w:tc>
      </w:tr>
      <w:tr w:rsidR="00D95BE5" w14:paraId="3CA3BC7E" w14:textId="77777777" w:rsidTr="00037248">
        <w:trPr>
          <w:trHeight w:val="339"/>
        </w:trPr>
        <w:tc>
          <w:tcPr>
            <w:tcW w:w="1245" w:type="pct"/>
          </w:tcPr>
          <w:p w14:paraId="2CD5FA98" w14:textId="6DCC5C69" w:rsidR="00D95BE5" w:rsidRPr="008A2255" w:rsidRDefault="00D95BE5" w:rsidP="00806F64">
            <w:r>
              <w:t xml:space="preserve">A communications </w:t>
            </w:r>
            <w:r w:rsidR="00806F64">
              <w:t xml:space="preserve">and engagement </w:t>
            </w:r>
            <w:r>
              <w:t>p</w:t>
            </w:r>
            <w:r w:rsidRPr="008A2255">
              <w:t xml:space="preserve">lan </w:t>
            </w:r>
            <w:r>
              <w:t xml:space="preserve">for South Yorkshire and Bassetlaw </w:t>
            </w:r>
          </w:p>
        </w:tc>
        <w:tc>
          <w:tcPr>
            <w:tcW w:w="1780" w:type="pct"/>
          </w:tcPr>
          <w:p w14:paraId="27FB6C51" w14:textId="044C4FE1" w:rsidR="00D95BE5" w:rsidRPr="008A2255" w:rsidRDefault="00806F64" w:rsidP="00542C17">
            <w:r>
              <w:t>Engage with all partners to support project activities ensuring that these activities meet the needs of both schools and health and social care employers</w:t>
            </w:r>
          </w:p>
        </w:tc>
        <w:tc>
          <w:tcPr>
            <w:tcW w:w="1975" w:type="pct"/>
          </w:tcPr>
          <w:p w14:paraId="340AFB72" w14:textId="77777777" w:rsidR="00D95BE5" w:rsidRDefault="00806F64" w:rsidP="00037248">
            <w:pPr>
              <w:pStyle w:val="ListParagraph"/>
              <w:numPr>
                <w:ilvl w:val="0"/>
                <w:numId w:val="8"/>
              </w:numPr>
              <w:ind w:left="493" w:hanging="284"/>
            </w:pPr>
            <w:r>
              <w:t>Meet key stakeholders from school and H&amp;SC communities to identify needs and value of proposed solution</w:t>
            </w:r>
          </w:p>
          <w:p w14:paraId="737723C2" w14:textId="5465DBAE" w:rsidR="00CC0514" w:rsidRPr="008A2255" w:rsidRDefault="00CC0514" w:rsidP="00037248">
            <w:pPr>
              <w:pStyle w:val="ListParagraph"/>
              <w:numPr>
                <w:ilvl w:val="0"/>
                <w:numId w:val="8"/>
              </w:numPr>
              <w:ind w:left="493" w:hanging="284"/>
            </w:pPr>
            <w:r>
              <w:t>Ensure link to Gatsby benchmarks</w:t>
            </w:r>
          </w:p>
        </w:tc>
      </w:tr>
      <w:tr w:rsidR="000A2C23" w14:paraId="7ADEFE4C" w14:textId="77777777" w:rsidTr="00037248">
        <w:trPr>
          <w:trHeight w:val="460"/>
        </w:trPr>
        <w:tc>
          <w:tcPr>
            <w:tcW w:w="1245" w:type="pct"/>
          </w:tcPr>
          <w:p w14:paraId="64A133FA" w14:textId="321DDE89" w:rsidR="000A2C23" w:rsidRPr="008A2255" w:rsidRDefault="000A2C23" w:rsidP="006F52FD">
            <w:r>
              <w:t>An online Health and Social Care</w:t>
            </w:r>
            <w:r w:rsidRPr="008A2255">
              <w:t xml:space="preserve"> Careers Hub for </w:t>
            </w:r>
            <w:r>
              <w:t>SYB</w:t>
            </w:r>
            <w:r w:rsidR="00A40661">
              <w:t xml:space="preserve"> and communications to students </w:t>
            </w:r>
            <w:r w:rsidR="009D592D">
              <w:t xml:space="preserve">, parents and teachers </w:t>
            </w:r>
            <w:r w:rsidR="00A40661">
              <w:t>through social media</w:t>
            </w:r>
          </w:p>
        </w:tc>
        <w:tc>
          <w:tcPr>
            <w:tcW w:w="1780" w:type="pct"/>
          </w:tcPr>
          <w:p w14:paraId="1753E29A" w14:textId="77777777" w:rsidR="000A2C23" w:rsidRDefault="000A2C23" w:rsidP="006F52FD">
            <w:r>
              <w:t>This will be a single place where people can go to identify:</w:t>
            </w:r>
          </w:p>
          <w:p w14:paraId="0828ED30" w14:textId="06C5653A" w:rsidR="000A2C23" w:rsidRDefault="000A2C23" w:rsidP="00B949F8">
            <w:pPr>
              <w:pStyle w:val="ListParagraph"/>
              <w:numPr>
                <w:ilvl w:val="0"/>
                <w:numId w:val="2"/>
              </w:numPr>
              <w:ind w:left="378" w:hanging="283"/>
            </w:pPr>
            <w:r>
              <w:t>careers fair</w:t>
            </w:r>
            <w:r w:rsidR="00B949F8">
              <w:t>s and events</w:t>
            </w:r>
            <w:r>
              <w:t xml:space="preserve"> to go to be inspired</w:t>
            </w:r>
          </w:p>
          <w:p w14:paraId="4705E126" w14:textId="479B4BA4" w:rsidR="009D592D" w:rsidRDefault="009D592D" w:rsidP="00B949F8">
            <w:pPr>
              <w:pStyle w:val="ListParagraph"/>
              <w:numPr>
                <w:ilvl w:val="0"/>
                <w:numId w:val="2"/>
              </w:numPr>
              <w:ind w:left="378" w:hanging="283"/>
            </w:pPr>
            <w:r>
              <w:t>info on range of careers, pathways and qualifications for the role</w:t>
            </w:r>
          </w:p>
          <w:p w14:paraId="6E8E90AF" w14:textId="77777777" w:rsidR="009D592D" w:rsidRDefault="009D592D" w:rsidP="00B949F8">
            <w:pPr>
              <w:pStyle w:val="ListParagraph"/>
              <w:numPr>
                <w:ilvl w:val="0"/>
                <w:numId w:val="2"/>
              </w:numPr>
              <w:ind w:left="378" w:hanging="283"/>
            </w:pPr>
            <w:r>
              <w:t>where to find jobs</w:t>
            </w:r>
          </w:p>
          <w:p w14:paraId="50E7328B" w14:textId="09DB9C34" w:rsidR="000A2C23" w:rsidRPr="008A2255" w:rsidRDefault="00542C17" w:rsidP="00037248">
            <w:pPr>
              <w:pStyle w:val="ListParagraph"/>
              <w:numPr>
                <w:ilvl w:val="0"/>
                <w:numId w:val="2"/>
              </w:numPr>
              <w:ind w:left="378" w:hanging="283"/>
            </w:pPr>
            <w:r>
              <w:t>Places they can get support with applications</w:t>
            </w:r>
            <w:r w:rsidR="009D592D">
              <w:t xml:space="preserve"> process</w:t>
            </w:r>
          </w:p>
        </w:tc>
        <w:tc>
          <w:tcPr>
            <w:tcW w:w="1975" w:type="pct"/>
          </w:tcPr>
          <w:p w14:paraId="5A7DF30D" w14:textId="77777777" w:rsidR="000A2C23" w:rsidRPr="009D592D" w:rsidRDefault="00A40661" w:rsidP="00037248">
            <w:pPr>
              <w:pStyle w:val="ListParagraph"/>
              <w:numPr>
                <w:ilvl w:val="0"/>
                <w:numId w:val="2"/>
              </w:numPr>
              <w:ind w:left="493" w:hanging="284"/>
            </w:pPr>
            <w:r w:rsidRPr="009D592D">
              <w:t>Develop</w:t>
            </w:r>
            <w:r w:rsidR="000A2C23" w:rsidRPr="009D592D">
              <w:t xml:space="preserve"> website </w:t>
            </w:r>
            <w:r w:rsidR="00B949F8" w:rsidRPr="009D592D">
              <w:t>linked to other local, national and regional resources not more than 2 clicks away</w:t>
            </w:r>
          </w:p>
          <w:p w14:paraId="7896A729" w14:textId="6C4F8A67" w:rsidR="009D592D" w:rsidRPr="009D592D" w:rsidRDefault="009D592D" w:rsidP="00037248">
            <w:pPr>
              <w:pStyle w:val="ListParagraph"/>
              <w:numPr>
                <w:ilvl w:val="0"/>
                <w:numId w:val="2"/>
              </w:numPr>
              <w:ind w:left="493" w:hanging="284"/>
            </w:pPr>
            <w:r w:rsidRPr="009D592D">
              <w:t>Develop social media presence</w:t>
            </w:r>
          </w:p>
          <w:p w14:paraId="0588120F" w14:textId="77777777" w:rsidR="009D592D" w:rsidRPr="009D592D" w:rsidRDefault="009D592D" w:rsidP="00037248">
            <w:pPr>
              <w:pStyle w:val="ListParagraph"/>
              <w:numPr>
                <w:ilvl w:val="0"/>
                <w:numId w:val="2"/>
              </w:numPr>
              <w:ind w:left="493" w:hanging="284"/>
            </w:pPr>
            <w:r w:rsidRPr="009D592D">
              <w:t>maintain the website and social media feed</w:t>
            </w:r>
          </w:p>
          <w:p w14:paraId="508AE0CD" w14:textId="50298158" w:rsidR="009D592D" w:rsidRPr="009D592D" w:rsidRDefault="009D592D" w:rsidP="00037248">
            <w:pPr>
              <w:pStyle w:val="ListParagraph"/>
              <w:numPr>
                <w:ilvl w:val="0"/>
                <w:numId w:val="2"/>
              </w:numPr>
              <w:ind w:left="493" w:hanging="284"/>
            </w:pPr>
            <w:r w:rsidRPr="009D592D">
              <w:t>school based sessions on how to apply</w:t>
            </w:r>
          </w:p>
        </w:tc>
      </w:tr>
      <w:tr w:rsidR="00E020E2" w14:paraId="26496646" w14:textId="77777777" w:rsidTr="00037248">
        <w:trPr>
          <w:trHeight w:val="339"/>
        </w:trPr>
        <w:tc>
          <w:tcPr>
            <w:tcW w:w="1245" w:type="pct"/>
          </w:tcPr>
          <w:p w14:paraId="38F45054" w14:textId="2338E862" w:rsidR="00E020E2" w:rsidRDefault="00E020E2" w:rsidP="006F52FD">
            <w:r>
              <w:t>Ambassadors</w:t>
            </w:r>
          </w:p>
        </w:tc>
        <w:tc>
          <w:tcPr>
            <w:tcW w:w="1780" w:type="pct"/>
          </w:tcPr>
          <w:p w14:paraId="3DB62B1D" w14:textId="72C8F037" w:rsidR="00E020E2" w:rsidRDefault="00E020E2" w:rsidP="00E020E2">
            <w:pPr>
              <w:pStyle w:val="ListParagraph"/>
              <w:numPr>
                <w:ilvl w:val="0"/>
                <w:numId w:val="5"/>
              </w:numPr>
              <w:ind w:left="350" w:hanging="283"/>
            </w:pPr>
            <w:r>
              <w:t>agreed system(s) for ambassador circuit with sign up from stakeholders</w:t>
            </w:r>
          </w:p>
          <w:p w14:paraId="0FBA74BE" w14:textId="5E3BF86C" w:rsidR="00E020E2" w:rsidRDefault="00E020E2" w:rsidP="00E020E2">
            <w:pPr>
              <w:pStyle w:val="ListParagraph"/>
              <w:numPr>
                <w:ilvl w:val="0"/>
                <w:numId w:val="5"/>
              </w:numPr>
              <w:ind w:left="350" w:hanging="283"/>
            </w:pPr>
            <w:r>
              <w:t>training for ambassadors</w:t>
            </w:r>
          </w:p>
        </w:tc>
        <w:tc>
          <w:tcPr>
            <w:tcW w:w="1975" w:type="pct"/>
          </w:tcPr>
          <w:p w14:paraId="3CC1FF2A" w14:textId="77777777" w:rsidR="00E020E2" w:rsidRDefault="00E020E2" w:rsidP="00037248">
            <w:pPr>
              <w:pStyle w:val="ListParagraph"/>
              <w:numPr>
                <w:ilvl w:val="0"/>
                <w:numId w:val="5"/>
              </w:numPr>
              <w:ind w:left="493" w:hanging="284"/>
            </w:pPr>
            <w:r>
              <w:t>Options appraisal of available systems</w:t>
            </w:r>
          </w:p>
          <w:p w14:paraId="04E763CE" w14:textId="77777777" w:rsidR="00E020E2" w:rsidRDefault="00E020E2" w:rsidP="00037248">
            <w:pPr>
              <w:pStyle w:val="ListParagraph"/>
              <w:numPr>
                <w:ilvl w:val="0"/>
                <w:numId w:val="5"/>
              </w:numPr>
              <w:ind w:left="493" w:hanging="284"/>
            </w:pPr>
            <w:r>
              <w:t>Undertake activities to encourage sign up from organisations, individuals and schools</w:t>
            </w:r>
          </w:p>
          <w:p w14:paraId="1F173083" w14:textId="06992CDC" w:rsidR="00E020E2" w:rsidRDefault="00E020E2" w:rsidP="00037248">
            <w:pPr>
              <w:pStyle w:val="ListParagraph"/>
              <w:numPr>
                <w:ilvl w:val="0"/>
                <w:numId w:val="5"/>
              </w:numPr>
              <w:ind w:left="493" w:hanging="284"/>
            </w:pPr>
            <w:r>
              <w:t xml:space="preserve">Provide </w:t>
            </w:r>
            <w:r w:rsidR="005E7FA7">
              <w:t>up-skilling</w:t>
            </w:r>
            <w:r>
              <w:t xml:space="preserve"> of ambassadors</w:t>
            </w:r>
          </w:p>
          <w:p w14:paraId="7F1D68C6" w14:textId="57ACD553" w:rsidR="00E020E2" w:rsidRDefault="00E020E2" w:rsidP="00037248">
            <w:pPr>
              <w:pStyle w:val="ListParagraph"/>
              <w:numPr>
                <w:ilvl w:val="0"/>
                <w:numId w:val="5"/>
              </w:numPr>
              <w:ind w:left="493" w:hanging="284"/>
            </w:pPr>
            <w:r>
              <w:t>evaluate</w:t>
            </w:r>
          </w:p>
        </w:tc>
      </w:tr>
      <w:tr w:rsidR="000A2C23" w14:paraId="1CF62312" w14:textId="77777777" w:rsidTr="00037248">
        <w:trPr>
          <w:trHeight w:val="339"/>
        </w:trPr>
        <w:tc>
          <w:tcPr>
            <w:tcW w:w="1245" w:type="pct"/>
          </w:tcPr>
          <w:p w14:paraId="086D02E5" w14:textId="7966BBBB" w:rsidR="000A2C23" w:rsidRPr="008A2255" w:rsidRDefault="00E020E2" w:rsidP="006F52FD">
            <w:r>
              <w:t>Careers events</w:t>
            </w:r>
          </w:p>
        </w:tc>
        <w:tc>
          <w:tcPr>
            <w:tcW w:w="1780" w:type="pct"/>
          </w:tcPr>
          <w:p w14:paraId="68C3D2B6" w14:textId="3D795218" w:rsidR="00E020E2" w:rsidRDefault="00E020E2" w:rsidP="00580D24">
            <w:pPr>
              <w:pStyle w:val="ListParagraph"/>
              <w:numPr>
                <w:ilvl w:val="0"/>
                <w:numId w:val="5"/>
              </w:numPr>
              <w:ind w:left="350" w:hanging="283"/>
            </w:pPr>
            <w:r>
              <w:t>Calendar of events</w:t>
            </w:r>
          </w:p>
          <w:p w14:paraId="1721F5C3" w14:textId="10FC1B22" w:rsidR="00E020E2" w:rsidRDefault="00E020E2" w:rsidP="00580D24">
            <w:pPr>
              <w:pStyle w:val="ListParagraph"/>
              <w:numPr>
                <w:ilvl w:val="0"/>
                <w:numId w:val="5"/>
              </w:numPr>
              <w:ind w:left="350" w:hanging="283"/>
            </w:pPr>
            <w:r>
              <w:t xml:space="preserve">SIM </w:t>
            </w:r>
            <w:r w:rsidR="005E7FA7">
              <w:t>corridor</w:t>
            </w:r>
            <w:r>
              <w:t xml:space="preserve"> annual event at each place</w:t>
            </w:r>
          </w:p>
          <w:p w14:paraId="5914B72C" w14:textId="1A3E72B9" w:rsidR="000A2C23" w:rsidRPr="008A2255" w:rsidRDefault="00580D24" w:rsidP="00E020E2">
            <w:pPr>
              <w:pStyle w:val="ListParagraph"/>
              <w:numPr>
                <w:ilvl w:val="0"/>
                <w:numId w:val="5"/>
              </w:numPr>
              <w:ind w:left="350" w:hanging="283"/>
            </w:pPr>
            <w:r>
              <w:t>engaging all H&amp;SC employers as required by place</w:t>
            </w:r>
          </w:p>
        </w:tc>
        <w:tc>
          <w:tcPr>
            <w:tcW w:w="1975" w:type="pct"/>
          </w:tcPr>
          <w:p w14:paraId="724F2999" w14:textId="1B36FE7E" w:rsidR="00E020E2" w:rsidRDefault="005E7FA7" w:rsidP="00037248">
            <w:pPr>
              <w:pStyle w:val="ListParagraph"/>
              <w:numPr>
                <w:ilvl w:val="0"/>
                <w:numId w:val="5"/>
              </w:numPr>
              <w:ind w:left="493" w:hanging="284"/>
            </w:pPr>
            <w:r>
              <w:t>D</w:t>
            </w:r>
            <w:r w:rsidR="00E020E2">
              <w:t>evelop and maintain calendar of events</w:t>
            </w:r>
          </w:p>
          <w:p w14:paraId="0A81D6FF" w14:textId="61FBCC57" w:rsidR="006F52FD" w:rsidRDefault="00580D24" w:rsidP="00037248">
            <w:pPr>
              <w:pStyle w:val="ListParagraph"/>
              <w:numPr>
                <w:ilvl w:val="0"/>
                <w:numId w:val="5"/>
              </w:numPr>
              <w:ind w:left="493" w:hanging="284"/>
            </w:pPr>
            <w:r>
              <w:t>Develop enabler groups</w:t>
            </w:r>
            <w:r w:rsidR="00E020E2">
              <w:t xml:space="preserve"> at place</w:t>
            </w:r>
          </w:p>
          <w:p w14:paraId="70BE3A53" w14:textId="77777777" w:rsidR="00580D24" w:rsidRDefault="00580D24" w:rsidP="00037248">
            <w:pPr>
              <w:pStyle w:val="ListParagraph"/>
              <w:numPr>
                <w:ilvl w:val="0"/>
                <w:numId w:val="5"/>
              </w:numPr>
              <w:ind w:left="493" w:hanging="284"/>
            </w:pPr>
            <w:r>
              <w:t>Share best practice, tools and materials</w:t>
            </w:r>
          </w:p>
          <w:p w14:paraId="0AC404BB" w14:textId="1082FD52" w:rsidR="00580D24" w:rsidRPr="009D592D" w:rsidRDefault="00CC0514" w:rsidP="00037248">
            <w:pPr>
              <w:pStyle w:val="ListParagraph"/>
              <w:numPr>
                <w:ilvl w:val="0"/>
                <w:numId w:val="5"/>
              </w:numPr>
              <w:ind w:left="493" w:hanging="284"/>
            </w:pPr>
            <w:r>
              <w:t>evaluate</w:t>
            </w:r>
          </w:p>
        </w:tc>
      </w:tr>
      <w:tr w:rsidR="006F52FD" w14:paraId="399DEB4E" w14:textId="77777777" w:rsidTr="00037248">
        <w:trPr>
          <w:trHeight w:val="535"/>
        </w:trPr>
        <w:tc>
          <w:tcPr>
            <w:tcW w:w="1245" w:type="pct"/>
          </w:tcPr>
          <w:p w14:paraId="75DB0A1F" w14:textId="785ED324" w:rsidR="006F52FD" w:rsidRPr="008A2255" w:rsidRDefault="00CC0514" w:rsidP="006F52FD">
            <w:r>
              <w:t>Improve impact from careers events</w:t>
            </w:r>
          </w:p>
        </w:tc>
        <w:tc>
          <w:tcPr>
            <w:tcW w:w="1780" w:type="pct"/>
          </w:tcPr>
          <w:p w14:paraId="6439590C" w14:textId="3D5A9F61" w:rsidR="006F52FD" w:rsidRDefault="00CC0514" w:rsidP="005E7FA7">
            <w:pPr>
              <w:pStyle w:val="ListParagraph"/>
              <w:numPr>
                <w:ilvl w:val="0"/>
                <w:numId w:val="5"/>
              </w:numPr>
              <w:ind w:left="350" w:hanging="283"/>
            </w:pPr>
            <w:r>
              <w:t>teachers up</w:t>
            </w:r>
            <w:r w:rsidR="005E7FA7">
              <w:t>-</w:t>
            </w:r>
            <w:r>
              <w:t>skilled in prepared children attending events</w:t>
            </w:r>
          </w:p>
          <w:p w14:paraId="6F20322F" w14:textId="071A1953" w:rsidR="00CC0514" w:rsidRPr="008A2255" w:rsidRDefault="00CC0514" w:rsidP="005E7FA7">
            <w:pPr>
              <w:pStyle w:val="ListParagraph"/>
              <w:numPr>
                <w:ilvl w:val="0"/>
                <w:numId w:val="5"/>
              </w:numPr>
              <w:ind w:left="350" w:hanging="283"/>
            </w:pPr>
            <w:r>
              <w:t>more meaningful contact between employers and young people</w:t>
            </w:r>
          </w:p>
        </w:tc>
        <w:tc>
          <w:tcPr>
            <w:tcW w:w="1975" w:type="pct"/>
          </w:tcPr>
          <w:p w14:paraId="2391EC57" w14:textId="3B4407A9" w:rsidR="006F52FD" w:rsidRDefault="005E7FA7" w:rsidP="00037248">
            <w:pPr>
              <w:pStyle w:val="ListParagraph"/>
              <w:numPr>
                <w:ilvl w:val="0"/>
                <w:numId w:val="6"/>
              </w:numPr>
              <w:ind w:left="493" w:hanging="284"/>
            </w:pPr>
            <w:r>
              <w:t xml:space="preserve">CPD </w:t>
            </w:r>
            <w:r w:rsidR="00CC0514">
              <w:t>for teachers</w:t>
            </w:r>
          </w:p>
          <w:p w14:paraId="3BF688E2" w14:textId="77777777" w:rsidR="00CC0514" w:rsidRDefault="00CC0514" w:rsidP="00037248">
            <w:pPr>
              <w:pStyle w:val="ListParagraph"/>
              <w:numPr>
                <w:ilvl w:val="0"/>
                <w:numId w:val="6"/>
              </w:numPr>
              <w:ind w:left="493" w:hanging="284"/>
            </w:pPr>
            <w:r>
              <w:t>co-develop teaching sessions to wrap around careers event(s) for year 8 pupils</w:t>
            </w:r>
          </w:p>
          <w:p w14:paraId="413216B5" w14:textId="7ACD60E4" w:rsidR="00CC0514" w:rsidRPr="009D592D" w:rsidRDefault="00CC0514" w:rsidP="00037248">
            <w:pPr>
              <w:pStyle w:val="ListParagraph"/>
              <w:numPr>
                <w:ilvl w:val="0"/>
                <w:numId w:val="6"/>
              </w:numPr>
              <w:ind w:left="493" w:hanging="284"/>
            </w:pPr>
            <w:r>
              <w:t>evaluate</w:t>
            </w:r>
          </w:p>
        </w:tc>
      </w:tr>
    </w:tbl>
    <w:p w14:paraId="4E5C8C49" w14:textId="77777777" w:rsidR="002F1913" w:rsidRDefault="002F1913" w:rsidP="00612F45"/>
    <w:sectPr w:rsidR="002F1913" w:rsidSect="001C59DE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8CE"/>
    <w:multiLevelType w:val="hybridMultilevel"/>
    <w:tmpl w:val="9E0A4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7BF"/>
    <w:multiLevelType w:val="hybridMultilevel"/>
    <w:tmpl w:val="51FCC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4C9A"/>
    <w:multiLevelType w:val="hybridMultilevel"/>
    <w:tmpl w:val="594C1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66DE"/>
    <w:multiLevelType w:val="hybridMultilevel"/>
    <w:tmpl w:val="192ABA44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4AE74483"/>
    <w:multiLevelType w:val="hybridMultilevel"/>
    <w:tmpl w:val="1C649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66008"/>
    <w:multiLevelType w:val="hybridMultilevel"/>
    <w:tmpl w:val="221AC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80BD0"/>
    <w:multiLevelType w:val="hybridMultilevel"/>
    <w:tmpl w:val="3D1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03522"/>
    <w:multiLevelType w:val="hybridMultilevel"/>
    <w:tmpl w:val="4348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C1"/>
    <w:rsid w:val="00037248"/>
    <w:rsid w:val="000A2C23"/>
    <w:rsid w:val="001063E6"/>
    <w:rsid w:val="001C59DE"/>
    <w:rsid w:val="002F1913"/>
    <w:rsid w:val="0033615A"/>
    <w:rsid w:val="003535DB"/>
    <w:rsid w:val="003E42F8"/>
    <w:rsid w:val="004A1C1D"/>
    <w:rsid w:val="004F596E"/>
    <w:rsid w:val="00542C17"/>
    <w:rsid w:val="00580D24"/>
    <w:rsid w:val="005E7FA7"/>
    <w:rsid w:val="00612F45"/>
    <w:rsid w:val="006F52FD"/>
    <w:rsid w:val="00806F64"/>
    <w:rsid w:val="00826A7A"/>
    <w:rsid w:val="008A2255"/>
    <w:rsid w:val="009C2655"/>
    <w:rsid w:val="009D592D"/>
    <w:rsid w:val="00A40661"/>
    <w:rsid w:val="00A64ADA"/>
    <w:rsid w:val="00B652F7"/>
    <w:rsid w:val="00B949F8"/>
    <w:rsid w:val="00C30BC1"/>
    <w:rsid w:val="00C40087"/>
    <w:rsid w:val="00CC0514"/>
    <w:rsid w:val="00D95BE5"/>
    <w:rsid w:val="00E020E2"/>
    <w:rsid w:val="00F16423"/>
    <w:rsid w:val="00F27AB1"/>
    <w:rsid w:val="00FA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74FE"/>
  <w15:docId w15:val="{3B436675-89B3-41EE-BBE3-85842EE7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NHS Foundation Trust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 James;Senior Learning and Development Partner</dc:creator>
  <cp:lastModifiedBy>Jo Cameron</cp:lastModifiedBy>
  <cp:revision>2</cp:revision>
  <cp:lastPrinted>2019-08-22T09:11:00Z</cp:lastPrinted>
  <dcterms:created xsi:type="dcterms:W3CDTF">2019-10-07T13:33:00Z</dcterms:created>
  <dcterms:modified xsi:type="dcterms:W3CDTF">2019-10-07T13:33:00Z</dcterms:modified>
</cp:coreProperties>
</file>