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B0CE" w14:textId="77777777" w:rsidR="001C59DE" w:rsidRDefault="001C59DE" w:rsidP="002F1913">
      <w:pPr>
        <w:jc w:val="center"/>
        <w:rPr>
          <w:b/>
        </w:rPr>
      </w:pPr>
      <w:bookmarkStart w:id="0" w:name="_GoBack"/>
      <w:bookmarkEnd w:id="0"/>
    </w:p>
    <w:p w14:paraId="7579A59A" w14:textId="77777777" w:rsidR="002F1913" w:rsidRDefault="002F1913" w:rsidP="00542C17">
      <w:pPr>
        <w:jc w:val="center"/>
        <w:rPr>
          <w:b/>
        </w:rPr>
      </w:pPr>
      <w:r w:rsidRPr="002F1913">
        <w:rPr>
          <w:b/>
        </w:rPr>
        <w:t>SYREC Community Engagement Sub-Committee</w:t>
      </w:r>
      <w:r w:rsidR="00542C17">
        <w:rPr>
          <w:b/>
        </w:rPr>
        <w:t xml:space="preserve"> - </w:t>
      </w:r>
      <w:r w:rsidRPr="002F1913">
        <w:rPr>
          <w:b/>
        </w:rPr>
        <w:t>Strategy on a Page</w:t>
      </w:r>
    </w:p>
    <w:p w14:paraId="56D2EBD2" w14:textId="77777777" w:rsidR="00542C17" w:rsidRDefault="008A2255" w:rsidP="002F1913">
      <w:r w:rsidRPr="00D95BE5">
        <w:rPr>
          <w:b/>
        </w:rPr>
        <w:t>Overall vision:</w:t>
      </w:r>
      <w:r>
        <w:t xml:space="preserve"> To get the right people in the right jobs across the patch by creating a</w:t>
      </w:r>
      <w:r w:rsidR="00542C17">
        <w:t>n</w:t>
      </w:r>
      <w:r>
        <w:t xml:space="preserve"> </w:t>
      </w:r>
      <w:r w:rsidR="00542C17">
        <w:t xml:space="preserve">inclusive, </w:t>
      </w:r>
      <w:r>
        <w:t xml:space="preserve">flexible </w:t>
      </w:r>
      <w:r w:rsidR="00542C17">
        <w:t>‘</w:t>
      </w:r>
      <w:r>
        <w:t>pipeline</w:t>
      </w:r>
      <w:r w:rsidR="00542C17">
        <w:t>’</w:t>
      </w:r>
      <w:r>
        <w:t xml:space="preserve"> </w:t>
      </w:r>
      <w:r w:rsidR="00D95BE5">
        <w:t xml:space="preserve">which attracts and employs the </w:t>
      </w:r>
      <w:r w:rsidR="00542C17">
        <w:t xml:space="preserve">diverse </w:t>
      </w:r>
      <w:r w:rsidR="00D95BE5">
        <w:t>local labour market</w:t>
      </w:r>
      <w:r w:rsidR="00542C17">
        <w:t xml:space="preserve">. </w:t>
      </w:r>
    </w:p>
    <w:p w14:paraId="74ADC043" w14:textId="77777777" w:rsidR="00542C17" w:rsidRPr="002F1913" w:rsidRDefault="002F1913" w:rsidP="002F1913">
      <w:r>
        <w:t>It is anticipated that support will be required for this strategy in the form of dedicated people and financial resource from SYREC, however as this w</w:t>
      </w:r>
      <w:r w:rsidR="008A2255">
        <w:t>i</w:t>
      </w:r>
      <w:r>
        <w:t xml:space="preserve">ll </w:t>
      </w:r>
      <w:r w:rsidR="008A2255">
        <w:t xml:space="preserve">likely </w:t>
      </w:r>
      <w:r>
        <w:t>take time the group have identified actions t</w:t>
      </w:r>
      <w:r w:rsidR="009C2655">
        <w:t>hat can be begun</w:t>
      </w:r>
      <w:r w:rsidR="00542C17">
        <w:t xml:space="preserve"> immediately. They</w:t>
      </w:r>
      <w:r>
        <w:t xml:space="preserve"> are indicated in </w:t>
      </w:r>
      <w:r w:rsidRPr="009C2655">
        <w:rPr>
          <w:highlight w:val="green"/>
        </w:rPr>
        <w:t>green</w:t>
      </w:r>
      <w:r>
        <w:t>.</w:t>
      </w:r>
    </w:p>
    <w:tbl>
      <w:tblPr>
        <w:tblStyle w:val="TableGrid"/>
        <w:tblW w:w="5000" w:type="pct"/>
        <w:tblLook w:val="04A0" w:firstRow="1" w:lastRow="0" w:firstColumn="1" w:lastColumn="0" w:noHBand="0" w:noVBand="1"/>
      </w:tblPr>
      <w:tblGrid>
        <w:gridCol w:w="4651"/>
        <w:gridCol w:w="4650"/>
        <w:gridCol w:w="4647"/>
      </w:tblGrid>
      <w:tr w:rsidR="002F1913" w14:paraId="4BF02253" w14:textId="77777777" w:rsidTr="00D95BE5">
        <w:tc>
          <w:tcPr>
            <w:tcW w:w="1667" w:type="pct"/>
            <w:shd w:val="clear" w:color="auto" w:fill="BFBFBF" w:themeFill="background1" w:themeFillShade="BF"/>
          </w:tcPr>
          <w:p w14:paraId="48B5B689" w14:textId="77777777" w:rsidR="002F1913" w:rsidRDefault="002F1913" w:rsidP="002F1913">
            <w:pPr>
              <w:jc w:val="center"/>
              <w:rPr>
                <w:b/>
              </w:rPr>
            </w:pPr>
            <w:r>
              <w:rPr>
                <w:b/>
              </w:rPr>
              <w:t>Strategy Area</w:t>
            </w:r>
          </w:p>
        </w:tc>
        <w:tc>
          <w:tcPr>
            <w:tcW w:w="1667" w:type="pct"/>
            <w:shd w:val="clear" w:color="auto" w:fill="BFBFBF" w:themeFill="background1" w:themeFillShade="BF"/>
          </w:tcPr>
          <w:p w14:paraId="7E288AB2" w14:textId="77777777" w:rsidR="002F1913" w:rsidRDefault="002F1913" w:rsidP="002F1913">
            <w:pPr>
              <w:jc w:val="center"/>
              <w:rPr>
                <w:b/>
              </w:rPr>
            </w:pPr>
            <w:r>
              <w:rPr>
                <w:b/>
              </w:rPr>
              <w:t>Outcomes</w:t>
            </w:r>
          </w:p>
        </w:tc>
        <w:tc>
          <w:tcPr>
            <w:tcW w:w="1666" w:type="pct"/>
            <w:shd w:val="clear" w:color="auto" w:fill="BFBFBF" w:themeFill="background1" w:themeFillShade="BF"/>
          </w:tcPr>
          <w:p w14:paraId="745DC233" w14:textId="77777777" w:rsidR="002F1913" w:rsidRDefault="002F1913" w:rsidP="002F1913">
            <w:pPr>
              <w:jc w:val="center"/>
              <w:rPr>
                <w:b/>
              </w:rPr>
            </w:pPr>
            <w:r>
              <w:rPr>
                <w:b/>
              </w:rPr>
              <w:t>Actions to Support</w:t>
            </w:r>
          </w:p>
        </w:tc>
      </w:tr>
      <w:tr w:rsidR="00D95BE5" w14:paraId="3A0F545B" w14:textId="77777777" w:rsidTr="00D95BE5">
        <w:trPr>
          <w:trHeight w:val="339"/>
        </w:trPr>
        <w:tc>
          <w:tcPr>
            <w:tcW w:w="1667" w:type="pct"/>
            <w:vMerge w:val="restart"/>
          </w:tcPr>
          <w:p w14:paraId="5661B779" w14:textId="77777777" w:rsidR="00D95BE5" w:rsidRPr="008A2255" w:rsidRDefault="00D95BE5" w:rsidP="006F52FD">
            <w:r>
              <w:t>A communications p</w:t>
            </w:r>
            <w:r w:rsidRPr="008A2255">
              <w:t xml:space="preserve">lan </w:t>
            </w:r>
            <w:r>
              <w:t>for South Yorkshire and Bassetlaw (</w:t>
            </w:r>
            <w:r w:rsidRPr="008A2255">
              <w:t>SYB</w:t>
            </w:r>
            <w:r>
              <w:t>)</w:t>
            </w:r>
            <w:r w:rsidRPr="008A2255">
              <w:t xml:space="preserve"> </w:t>
            </w:r>
            <w:r>
              <w:t>community c</w:t>
            </w:r>
            <w:r w:rsidRPr="008A2255">
              <w:t>areers</w:t>
            </w:r>
          </w:p>
        </w:tc>
        <w:tc>
          <w:tcPr>
            <w:tcW w:w="1667" w:type="pct"/>
            <w:vMerge w:val="restart"/>
          </w:tcPr>
          <w:p w14:paraId="7DC87751" w14:textId="77777777" w:rsidR="00D95BE5" w:rsidRPr="008A2255" w:rsidRDefault="00D95BE5" w:rsidP="00542C17">
            <w:r>
              <w:t xml:space="preserve">The plan will ensure we determine what our message is and who we want to reach with this message. Some actions have already been </w:t>
            </w:r>
            <w:r w:rsidR="00542C17">
              <w:t>identified as</w:t>
            </w:r>
            <w:r>
              <w:t xml:space="preserve"> helpful but a thorough plan will ensure there are no gaps.</w:t>
            </w:r>
          </w:p>
        </w:tc>
        <w:tc>
          <w:tcPr>
            <w:tcW w:w="1666" w:type="pct"/>
          </w:tcPr>
          <w:p w14:paraId="0E9660E1" w14:textId="77777777" w:rsidR="00D95BE5" w:rsidRPr="008A2255" w:rsidRDefault="00D95BE5" w:rsidP="001C59DE">
            <w:r w:rsidRPr="00F16423">
              <w:t>Pushed social media campaign with the aim of reaching people in their own homes.</w:t>
            </w:r>
            <w:r>
              <w:t xml:space="preserve"> Content will demonstrate that there is a job for everyone in health and social care. Make use of content already developed in the region.</w:t>
            </w:r>
          </w:p>
        </w:tc>
      </w:tr>
      <w:tr w:rsidR="00D95BE5" w14:paraId="011D5A91" w14:textId="77777777" w:rsidTr="00D95BE5">
        <w:trPr>
          <w:trHeight w:val="337"/>
        </w:trPr>
        <w:tc>
          <w:tcPr>
            <w:tcW w:w="1667" w:type="pct"/>
            <w:vMerge/>
          </w:tcPr>
          <w:p w14:paraId="7923FEDF" w14:textId="77777777" w:rsidR="00D95BE5" w:rsidRDefault="00D95BE5" w:rsidP="006F52FD"/>
        </w:tc>
        <w:tc>
          <w:tcPr>
            <w:tcW w:w="1667" w:type="pct"/>
            <w:vMerge/>
          </w:tcPr>
          <w:p w14:paraId="74F5ACB7" w14:textId="77777777" w:rsidR="00D95BE5" w:rsidRDefault="00D95BE5" w:rsidP="006F52FD"/>
        </w:tc>
        <w:tc>
          <w:tcPr>
            <w:tcW w:w="1666" w:type="pct"/>
          </w:tcPr>
          <w:p w14:paraId="0FEFE47D" w14:textId="77777777" w:rsidR="00D95BE5" w:rsidRPr="00F16423" w:rsidRDefault="00D95BE5" w:rsidP="006F52FD">
            <w:pPr>
              <w:rPr>
                <w:highlight w:val="green"/>
              </w:rPr>
            </w:pPr>
            <w:r w:rsidRPr="00F16423">
              <w:rPr>
                <w:highlight w:val="green"/>
              </w:rPr>
              <w:t>Create a database of community venues and locations in SYB</w:t>
            </w:r>
            <w:r w:rsidR="00542C17">
              <w:rPr>
                <w:highlight w:val="green"/>
              </w:rPr>
              <w:t xml:space="preserve"> – consider diversity and inclusion here eg mosques, learning disabilities</w:t>
            </w:r>
          </w:p>
        </w:tc>
      </w:tr>
      <w:tr w:rsidR="00D95BE5" w14:paraId="1542E3D7" w14:textId="77777777" w:rsidTr="00D95BE5">
        <w:trPr>
          <w:trHeight w:val="337"/>
        </w:trPr>
        <w:tc>
          <w:tcPr>
            <w:tcW w:w="1667" w:type="pct"/>
            <w:vMerge/>
          </w:tcPr>
          <w:p w14:paraId="5E282745" w14:textId="77777777" w:rsidR="00D95BE5" w:rsidRDefault="00D95BE5" w:rsidP="006F52FD"/>
        </w:tc>
        <w:tc>
          <w:tcPr>
            <w:tcW w:w="1667" w:type="pct"/>
            <w:vMerge/>
          </w:tcPr>
          <w:p w14:paraId="45775D8E" w14:textId="77777777" w:rsidR="00D95BE5" w:rsidRDefault="00D95BE5" w:rsidP="006F52FD"/>
        </w:tc>
        <w:tc>
          <w:tcPr>
            <w:tcW w:w="1666" w:type="pct"/>
          </w:tcPr>
          <w:p w14:paraId="0F4CED93" w14:textId="77777777" w:rsidR="00D95BE5" w:rsidRPr="008A2255" w:rsidRDefault="00F16423" w:rsidP="006F52FD">
            <w:r w:rsidRPr="00F16423">
              <w:t>Poster campaign across all community venues and locations</w:t>
            </w:r>
            <w:r>
              <w:t xml:space="preserve"> advertising health and social care careers fairs and the online Careers Hub.</w:t>
            </w:r>
          </w:p>
        </w:tc>
      </w:tr>
      <w:tr w:rsidR="000A2C23" w14:paraId="5D5C1B54" w14:textId="77777777" w:rsidTr="000A2C23">
        <w:trPr>
          <w:trHeight w:val="460"/>
        </w:trPr>
        <w:tc>
          <w:tcPr>
            <w:tcW w:w="1667" w:type="pct"/>
            <w:vMerge w:val="restart"/>
          </w:tcPr>
          <w:p w14:paraId="422B74DD" w14:textId="77777777" w:rsidR="000A2C23" w:rsidRPr="008A2255" w:rsidRDefault="000A2C23" w:rsidP="006F52FD">
            <w:r>
              <w:t>An online Health and Social Care</w:t>
            </w:r>
            <w:r w:rsidRPr="008A2255">
              <w:t xml:space="preserve"> Careers Hub for </w:t>
            </w:r>
            <w:r>
              <w:t>SYB</w:t>
            </w:r>
          </w:p>
        </w:tc>
        <w:tc>
          <w:tcPr>
            <w:tcW w:w="1667" w:type="pct"/>
            <w:vMerge w:val="restart"/>
          </w:tcPr>
          <w:p w14:paraId="182F203F" w14:textId="77777777" w:rsidR="000A2C23" w:rsidRDefault="000A2C23" w:rsidP="006F52FD">
            <w:r>
              <w:t>This will be a single place where people can go to identify:</w:t>
            </w:r>
          </w:p>
          <w:p w14:paraId="62F4E22F" w14:textId="77777777" w:rsidR="000A2C23" w:rsidRDefault="000A2C23" w:rsidP="006F52FD">
            <w:pPr>
              <w:pStyle w:val="ListParagraph"/>
              <w:numPr>
                <w:ilvl w:val="0"/>
                <w:numId w:val="2"/>
              </w:numPr>
            </w:pPr>
            <w:r>
              <w:t>A careers fair to go to to be inspired</w:t>
            </w:r>
          </w:p>
          <w:p w14:paraId="679601FC" w14:textId="77777777" w:rsidR="000A2C23" w:rsidRDefault="000A2C23" w:rsidP="006F52FD">
            <w:pPr>
              <w:pStyle w:val="ListParagraph"/>
              <w:numPr>
                <w:ilvl w:val="0"/>
                <w:numId w:val="2"/>
              </w:numPr>
            </w:pPr>
            <w:r>
              <w:t>A place they can get work experience</w:t>
            </w:r>
          </w:p>
          <w:p w14:paraId="00D70362" w14:textId="77777777" w:rsidR="000A2C23" w:rsidRDefault="00542C17" w:rsidP="006F52FD">
            <w:pPr>
              <w:pStyle w:val="ListParagraph"/>
              <w:numPr>
                <w:ilvl w:val="0"/>
                <w:numId w:val="2"/>
              </w:numPr>
            </w:pPr>
            <w:r>
              <w:t>Places they can get support with applications</w:t>
            </w:r>
          </w:p>
          <w:p w14:paraId="53A96A1E" w14:textId="77777777" w:rsidR="000A2C23" w:rsidRPr="008A2255" w:rsidRDefault="000A2C23" w:rsidP="006F52FD">
            <w:pPr>
              <w:pStyle w:val="ListParagraph"/>
              <w:numPr>
                <w:ilvl w:val="0"/>
                <w:numId w:val="2"/>
              </w:numPr>
            </w:pPr>
            <w:r>
              <w:t>Jobs they can apply for</w:t>
            </w:r>
          </w:p>
        </w:tc>
        <w:tc>
          <w:tcPr>
            <w:tcW w:w="1666" w:type="pct"/>
          </w:tcPr>
          <w:p w14:paraId="2558DE7D" w14:textId="77777777" w:rsidR="000A2C23" w:rsidRPr="000A2C23" w:rsidRDefault="000A2C23" w:rsidP="006F52FD">
            <w:pPr>
              <w:rPr>
                <w:highlight w:val="green"/>
              </w:rPr>
            </w:pPr>
            <w:r w:rsidRPr="000A2C23">
              <w:rPr>
                <w:highlight w:val="green"/>
              </w:rPr>
              <w:t xml:space="preserve">Identify existing expertise to support the establishment of the website </w:t>
            </w:r>
          </w:p>
        </w:tc>
      </w:tr>
      <w:tr w:rsidR="000A2C23" w14:paraId="74D10AC1" w14:textId="77777777" w:rsidTr="00D95BE5">
        <w:trPr>
          <w:trHeight w:val="460"/>
        </w:trPr>
        <w:tc>
          <w:tcPr>
            <w:tcW w:w="1667" w:type="pct"/>
            <w:vMerge/>
          </w:tcPr>
          <w:p w14:paraId="31914F04" w14:textId="77777777" w:rsidR="000A2C23" w:rsidRDefault="000A2C23" w:rsidP="006F52FD"/>
        </w:tc>
        <w:tc>
          <w:tcPr>
            <w:tcW w:w="1667" w:type="pct"/>
            <w:vMerge/>
          </w:tcPr>
          <w:p w14:paraId="2E911CB4" w14:textId="77777777" w:rsidR="000A2C23" w:rsidRDefault="000A2C23" w:rsidP="006F52FD"/>
        </w:tc>
        <w:tc>
          <w:tcPr>
            <w:tcW w:w="1666" w:type="pct"/>
          </w:tcPr>
          <w:p w14:paraId="1006ED7A" w14:textId="77777777" w:rsidR="000A2C23" w:rsidRPr="000A2C23" w:rsidRDefault="000A2C23" w:rsidP="006F52FD">
            <w:pPr>
              <w:rPr>
                <w:highlight w:val="green"/>
              </w:rPr>
            </w:pPr>
            <w:r w:rsidRPr="000A2C23">
              <w:rPr>
                <w:highlight w:val="green"/>
              </w:rPr>
              <w:t xml:space="preserve">Build and maintain buy-in for the single location </w:t>
            </w:r>
          </w:p>
        </w:tc>
      </w:tr>
      <w:tr w:rsidR="000A2C23" w14:paraId="45B3A1CD" w14:textId="77777777" w:rsidTr="00D95BE5">
        <w:trPr>
          <w:trHeight w:val="460"/>
        </w:trPr>
        <w:tc>
          <w:tcPr>
            <w:tcW w:w="1667" w:type="pct"/>
            <w:vMerge/>
          </w:tcPr>
          <w:p w14:paraId="1296791D" w14:textId="77777777" w:rsidR="000A2C23" w:rsidRDefault="000A2C23" w:rsidP="006F52FD"/>
        </w:tc>
        <w:tc>
          <w:tcPr>
            <w:tcW w:w="1667" w:type="pct"/>
            <w:vMerge/>
          </w:tcPr>
          <w:p w14:paraId="31B10FB3" w14:textId="77777777" w:rsidR="000A2C23" w:rsidRDefault="000A2C23" w:rsidP="006F52FD"/>
        </w:tc>
        <w:tc>
          <w:tcPr>
            <w:tcW w:w="1666" w:type="pct"/>
          </w:tcPr>
          <w:p w14:paraId="70B40869" w14:textId="77777777" w:rsidR="000A2C23" w:rsidRPr="008A2255" w:rsidRDefault="000A2C23" w:rsidP="006F52FD">
            <w:r w:rsidRPr="000A2C23">
              <w:rPr>
                <w:highlight w:val="green"/>
              </w:rPr>
              <w:t>Create and maintain the website</w:t>
            </w:r>
          </w:p>
        </w:tc>
      </w:tr>
      <w:tr w:rsidR="000A2C23" w14:paraId="00AD0005" w14:textId="77777777" w:rsidTr="000A2C23">
        <w:trPr>
          <w:trHeight w:val="339"/>
        </w:trPr>
        <w:tc>
          <w:tcPr>
            <w:tcW w:w="1667" w:type="pct"/>
            <w:vMerge w:val="restart"/>
          </w:tcPr>
          <w:p w14:paraId="1753007B" w14:textId="77777777" w:rsidR="000A2C23" w:rsidRPr="008A2255" w:rsidRDefault="000A2C23" w:rsidP="006F52FD">
            <w:r>
              <w:t>A shared, easy approach to work experience</w:t>
            </w:r>
            <w:r w:rsidR="00B652F7">
              <w:t xml:space="preserve"> that is accessible to all, not just school students</w:t>
            </w:r>
          </w:p>
        </w:tc>
        <w:tc>
          <w:tcPr>
            <w:tcW w:w="1667" w:type="pct"/>
            <w:vMerge w:val="restart"/>
          </w:tcPr>
          <w:p w14:paraId="66461B57" w14:textId="77777777" w:rsidR="000A2C23" w:rsidRPr="008A2255" w:rsidRDefault="000A2C23" w:rsidP="00B652F7">
            <w:r>
              <w:t xml:space="preserve">Ensure that there is plenty of opportunity for </w:t>
            </w:r>
            <w:r w:rsidR="006F52FD">
              <w:t xml:space="preserve"> work experience across SYB</w:t>
            </w:r>
            <w:r w:rsidR="00B652F7">
              <w:t xml:space="preserve"> (both for school age and non school-age)</w:t>
            </w:r>
            <w:r>
              <w:t xml:space="preserve"> and that barriers to providing this are removed by ensuring it is easy for organisations to do.</w:t>
            </w:r>
          </w:p>
        </w:tc>
        <w:tc>
          <w:tcPr>
            <w:tcW w:w="1666" w:type="pct"/>
          </w:tcPr>
          <w:p w14:paraId="2A93BC56" w14:textId="77777777" w:rsidR="006F52FD" w:rsidRPr="006F52FD" w:rsidRDefault="006F52FD" w:rsidP="006F52FD">
            <w:pPr>
              <w:rPr>
                <w:highlight w:val="green"/>
              </w:rPr>
            </w:pPr>
            <w:r w:rsidRPr="006F52FD">
              <w:rPr>
                <w:highlight w:val="green"/>
              </w:rPr>
              <w:t>Build and maintain buy-in for new ways of working, using existing expertise. Investigate use of insights days, mentoring circles</w:t>
            </w:r>
            <w:r w:rsidR="004A1C1D">
              <w:rPr>
                <w:highlight w:val="green"/>
              </w:rPr>
              <w:t>, simulation, volunteering</w:t>
            </w:r>
            <w:r w:rsidRPr="006F52FD">
              <w:rPr>
                <w:highlight w:val="green"/>
              </w:rPr>
              <w:t xml:space="preserve"> etc that don’t require DBS.</w:t>
            </w:r>
          </w:p>
        </w:tc>
      </w:tr>
      <w:tr w:rsidR="000A2C23" w14:paraId="51139C57" w14:textId="77777777" w:rsidTr="00D95BE5">
        <w:trPr>
          <w:trHeight w:val="337"/>
        </w:trPr>
        <w:tc>
          <w:tcPr>
            <w:tcW w:w="1667" w:type="pct"/>
            <w:vMerge/>
          </w:tcPr>
          <w:p w14:paraId="07E66BF4" w14:textId="77777777" w:rsidR="000A2C23" w:rsidRDefault="000A2C23" w:rsidP="006F52FD"/>
        </w:tc>
        <w:tc>
          <w:tcPr>
            <w:tcW w:w="1667" w:type="pct"/>
            <w:vMerge/>
          </w:tcPr>
          <w:p w14:paraId="2DC82298" w14:textId="77777777" w:rsidR="000A2C23" w:rsidRDefault="000A2C23" w:rsidP="006F52FD"/>
        </w:tc>
        <w:tc>
          <w:tcPr>
            <w:tcW w:w="1666" w:type="pct"/>
          </w:tcPr>
          <w:p w14:paraId="71E3F3F9" w14:textId="77777777" w:rsidR="000A2C23" w:rsidRPr="008A2255" w:rsidRDefault="006F52FD" w:rsidP="006F52FD">
            <w:r>
              <w:t>Bring all offerings together on the careers hub</w:t>
            </w:r>
          </w:p>
        </w:tc>
      </w:tr>
      <w:tr w:rsidR="006F52FD" w14:paraId="34E89B14" w14:textId="77777777" w:rsidTr="006F52FD">
        <w:trPr>
          <w:trHeight w:val="535"/>
        </w:trPr>
        <w:tc>
          <w:tcPr>
            <w:tcW w:w="1667" w:type="pct"/>
            <w:vMerge w:val="restart"/>
          </w:tcPr>
          <w:p w14:paraId="7861A805" w14:textId="77777777" w:rsidR="006F52FD" w:rsidRPr="008A2255" w:rsidRDefault="006F52FD" w:rsidP="006F52FD">
            <w:r>
              <w:t>Developing health and social care careers fairs</w:t>
            </w:r>
          </w:p>
        </w:tc>
        <w:tc>
          <w:tcPr>
            <w:tcW w:w="1667" w:type="pct"/>
            <w:vMerge w:val="restart"/>
          </w:tcPr>
          <w:p w14:paraId="5577AFAB" w14:textId="77777777" w:rsidR="006F52FD" w:rsidRPr="008A2255" w:rsidRDefault="006F52FD" w:rsidP="006F52FD">
            <w:r>
              <w:t>This workstream will develop fewer but higher-quality careers fairs where people can be inspired and signed up to be part of our future talent pool. Being part of this pool will give access to support with applications, qualifications and interviews.</w:t>
            </w:r>
          </w:p>
        </w:tc>
        <w:tc>
          <w:tcPr>
            <w:tcW w:w="1666" w:type="pct"/>
          </w:tcPr>
          <w:p w14:paraId="6B9B03AB" w14:textId="77777777" w:rsidR="006F52FD" w:rsidRPr="00612F45" w:rsidRDefault="006F52FD" w:rsidP="006F52FD">
            <w:pPr>
              <w:rPr>
                <w:highlight w:val="green"/>
              </w:rPr>
            </w:pPr>
            <w:r w:rsidRPr="00612F45">
              <w:rPr>
                <w:highlight w:val="green"/>
              </w:rPr>
              <w:t>Use networks to identify all careers fairs that are happening across SYB</w:t>
            </w:r>
            <w:r w:rsidR="00612F45">
              <w:rPr>
                <w:highlight w:val="green"/>
              </w:rPr>
              <w:t>, and ensure we have a presence at the key events</w:t>
            </w:r>
          </w:p>
        </w:tc>
      </w:tr>
      <w:tr w:rsidR="006F52FD" w14:paraId="13AFD4C2" w14:textId="77777777" w:rsidTr="00D95BE5">
        <w:trPr>
          <w:trHeight w:val="535"/>
        </w:trPr>
        <w:tc>
          <w:tcPr>
            <w:tcW w:w="1667" w:type="pct"/>
            <w:vMerge/>
          </w:tcPr>
          <w:p w14:paraId="5A920DBB" w14:textId="77777777" w:rsidR="006F52FD" w:rsidRDefault="006F52FD" w:rsidP="006F52FD"/>
        </w:tc>
        <w:tc>
          <w:tcPr>
            <w:tcW w:w="1667" w:type="pct"/>
            <w:vMerge/>
          </w:tcPr>
          <w:p w14:paraId="30259301" w14:textId="77777777" w:rsidR="006F52FD" w:rsidRDefault="006F52FD" w:rsidP="006F52FD"/>
        </w:tc>
        <w:tc>
          <w:tcPr>
            <w:tcW w:w="1666" w:type="pct"/>
          </w:tcPr>
          <w:p w14:paraId="2C855F90" w14:textId="77777777" w:rsidR="006F52FD" w:rsidRPr="00612F45" w:rsidRDefault="00612F45" w:rsidP="006F52FD">
            <w:pPr>
              <w:rPr>
                <w:highlight w:val="green"/>
              </w:rPr>
            </w:pPr>
            <w:r>
              <w:rPr>
                <w:highlight w:val="green"/>
              </w:rPr>
              <w:t>Create health and social care careers events for each PLACE using the Doncaster Dome approach.</w:t>
            </w:r>
          </w:p>
        </w:tc>
      </w:tr>
      <w:tr w:rsidR="006F52FD" w14:paraId="0D4007B1" w14:textId="77777777" w:rsidTr="00D95BE5">
        <w:trPr>
          <w:trHeight w:val="535"/>
        </w:trPr>
        <w:tc>
          <w:tcPr>
            <w:tcW w:w="1667" w:type="pct"/>
            <w:vMerge/>
          </w:tcPr>
          <w:p w14:paraId="5B81C7DA" w14:textId="77777777" w:rsidR="006F52FD" w:rsidRDefault="006F52FD" w:rsidP="006F52FD"/>
        </w:tc>
        <w:tc>
          <w:tcPr>
            <w:tcW w:w="1667" w:type="pct"/>
            <w:vMerge/>
          </w:tcPr>
          <w:p w14:paraId="1CDCEAF0" w14:textId="77777777" w:rsidR="006F52FD" w:rsidRDefault="006F52FD" w:rsidP="006F52FD"/>
        </w:tc>
        <w:tc>
          <w:tcPr>
            <w:tcW w:w="1666" w:type="pct"/>
          </w:tcPr>
          <w:p w14:paraId="622DAC83" w14:textId="77777777" w:rsidR="006F52FD" w:rsidRPr="008A2255" w:rsidRDefault="00612F45" w:rsidP="006F52FD">
            <w:r>
              <w:t>Advertise all careers event on the hub website and out in the community so that the people know where to come to get started.</w:t>
            </w:r>
          </w:p>
        </w:tc>
      </w:tr>
    </w:tbl>
    <w:p w14:paraId="6C73CC91" w14:textId="77777777" w:rsidR="002F1913" w:rsidRDefault="002F1913" w:rsidP="00612F45"/>
    <w:sectPr w:rsidR="002F1913" w:rsidSect="001C59DE">
      <w:pgSz w:w="16838" w:h="11906" w:orient="landscape"/>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766DE"/>
    <w:multiLevelType w:val="hybridMultilevel"/>
    <w:tmpl w:val="192ABA44"/>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1" w15:restartNumberingAfterBreak="0">
    <w:nsid w:val="4AE74483"/>
    <w:multiLevelType w:val="hybridMultilevel"/>
    <w:tmpl w:val="1F2A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03522"/>
    <w:multiLevelType w:val="hybridMultilevel"/>
    <w:tmpl w:val="4348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BC1"/>
    <w:rsid w:val="000A2C23"/>
    <w:rsid w:val="001063E6"/>
    <w:rsid w:val="001C59DE"/>
    <w:rsid w:val="002F1913"/>
    <w:rsid w:val="0033615A"/>
    <w:rsid w:val="003535DB"/>
    <w:rsid w:val="004A1C1D"/>
    <w:rsid w:val="00542C17"/>
    <w:rsid w:val="00612F45"/>
    <w:rsid w:val="006F52FD"/>
    <w:rsid w:val="00826A7A"/>
    <w:rsid w:val="008A2255"/>
    <w:rsid w:val="009C2655"/>
    <w:rsid w:val="00B652F7"/>
    <w:rsid w:val="00C30BC1"/>
    <w:rsid w:val="00D95BE5"/>
    <w:rsid w:val="00E818A8"/>
    <w:rsid w:val="00F1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FCE5"/>
  <w15:chartTrackingRefBased/>
  <w15:docId w15:val="{9CB24279-125A-4FBC-BF50-F8F56059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423"/>
    <w:pPr>
      <w:ind w:left="720"/>
      <w:contextualSpacing/>
    </w:pPr>
  </w:style>
  <w:style w:type="paragraph" w:styleId="BalloonText">
    <w:name w:val="Balloon Text"/>
    <w:basedOn w:val="Normal"/>
    <w:link w:val="BalloonTextChar"/>
    <w:uiPriority w:val="99"/>
    <w:semiHidden/>
    <w:unhideWhenUsed/>
    <w:rsid w:val="004A1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Rotherham NHS Foundation Trust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James;Senior Learning and Development Partner</dc:creator>
  <cp:keywords/>
  <dc:description/>
  <cp:lastModifiedBy>Jo Cameron</cp:lastModifiedBy>
  <cp:revision>2</cp:revision>
  <cp:lastPrinted>2019-08-22T09:11:00Z</cp:lastPrinted>
  <dcterms:created xsi:type="dcterms:W3CDTF">2019-11-04T10:38:00Z</dcterms:created>
  <dcterms:modified xsi:type="dcterms:W3CDTF">2019-11-04T10:38:00Z</dcterms:modified>
</cp:coreProperties>
</file>