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51"/>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322"/>
        <w:gridCol w:w="2977"/>
        <w:gridCol w:w="3404"/>
        <w:gridCol w:w="3825"/>
      </w:tblGrid>
      <w:tr w:rsidR="0000443F" w14:paraId="6E2B03F8" w14:textId="77777777" w:rsidTr="00D941EB">
        <w:trPr>
          <w:cnfStyle w:val="100000000000" w:firstRow="1" w:lastRow="0" w:firstColumn="0" w:lastColumn="0" w:oddVBand="0" w:evenVBand="0" w:oddHBand="0" w:evenHBand="0" w:firstRowFirstColumn="0" w:firstRowLastColumn="0" w:lastRowFirstColumn="0" w:lastRowLastColumn="0"/>
          <w:trHeight w:val="583"/>
          <w:tblHeader/>
        </w:trPr>
        <w:tc>
          <w:tcPr>
            <w:cnfStyle w:val="001000000000" w:firstRow="0" w:lastRow="0" w:firstColumn="1" w:lastColumn="0" w:oddVBand="0" w:evenVBand="0" w:oddHBand="0" w:evenHBand="0" w:firstRowFirstColumn="0" w:firstRowLastColumn="0" w:lastRowFirstColumn="0" w:lastRowLastColumn="0"/>
            <w:tcW w:w="15877" w:type="dxa"/>
            <w:gridSpan w:val="5"/>
            <w:tcBorders>
              <w:bottom w:val="single" w:sz="4" w:space="0" w:color="auto"/>
            </w:tcBorders>
            <w:shd w:val="clear" w:color="auto" w:fill="2F5496" w:themeFill="accent1" w:themeFillShade="BF"/>
            <w:vAlign w:val="center"/>
          </w:tcPr>
          <w:p w14:paraId="1B88E7A2" w14:textId="2E8000D0" w:rsidR="0000443F" w:rsidRPr="00B1201C" w:rsidRDefault="00E169BE" w:rsidP="008A11D5">
            <w:pPr>
              <w:rPr>
                <w:sz w:val="32"/>
                <w:szCs w:val="32"/>
              </w:rPr>
            </w:pPr>
            <w:bookmarkStart w:id="0" w:name="_GoBack"/>
            <w:bookmarkEnd w:id="0"/>
            <w:r w:rsidRPr="00E169BE">
              <w:t xml:space="preserve">FUTURE WORKFORCE </w:t>
            </w:r>
            <w:r w:rsidR="0000443F" w:rsidRPr="00E169BE">
              <w:t xml:space="preserve">MATURITY INDEX </w:t>
            </w:r>
            <w:r w:rsidR="00994BCC">
              <w:t xml:space="preserve"> 2019 - 2022</w:t>
            </w:r>
          </w:p>
        </w:tc>
      </w:tr>
      <w:tr w:rsidR="00B57ED5" w14:paraId="57BC4683" w14:textId="77777777" w:rsidTr="007D4A37">
        <w:trPr>
          <w:cnfStyle w:val="100000000000" w:firstRow="1" w:lastRow="0" w:firstColumn="0" w:lastColumn="0" w:oddVBand="0" w:evenVBand="0" w:oddHBand="0" w:evenHBand="0" w:firstRowFirstColumn="0" w:firstRowLastColumn="0" w:lastRowFirstColumn="0" w:lastRowLastColumn="0"/>
          <w:trHeight w:val="1003"/>
          <w:tblHead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right w:val="single" w:sz="4" w:space="0" w:color="auto"/>
            </w:tcBorders>
            <w:shd w:val="clear" w:color="auto" w:fill="2F5496" w:themeFill="accent1" w:themeFillShade="BF"/>
            <w:vAlign w:val="center"/>
          </w:tcPr>
          <w:p w14:paraId="079802D2" w14:textId="213D5FFB" w:rsidR="00B1201C" w:rsidRPr="000F27CC" w:rsidRDefault="000F27CC">
            <w:pPr>
              <w:rPr>
                <w:sz w:val="32"/>
                <w:szCs w:val="32"/>
              </w:rPr>
            </w:pPr>
            <w:r w:rsidRPr="000F27CC">
              <w:rPr>
                <w:sz w:val="32"/>
                <w:szCs w:val="32"/>
              </w:rPr>
              <w:t>WORKSTREAMS</w:t>
            </w:r>
          </w:p>
        </w:tc>
        <w:tc>
          <w:tcPr>
            <w:tcW w:w="3322" w:type="dxa"/>
            <w:tcBorders>
              <w:top w:val="single" w:sz="4" w:space="0" w:color="auto"/>
              <w:left w:val="single" w:sz="4" w:space="0" w:color="auto"/>
              <w:right w:val="single" w:sz="4" w:space="0" w:color="auto"/>
            </w:tcBorders>
            <w:shd w:val="clear" w:color="auto" w:fill="2F5496" w:themeFill="accent1" w:themeFillShade="BF"/>
            <w:vAlign w:val="center"/>
          </w:tcPr>
          <w:p w14:paraId="6DB0EEAE" w14:textId="0D66ACA2" w:rsidR="00B1201C" w:rsidRPr="00B1201C" w:rsidRDefault="00B1201C" w:rsidP="00B1201C">
            <w:pPr>
              <w:jc w:val="center"/>
              <w:cnfStyle w:val="100000000000" w:firstRow="1" w:lastRow="0" w:firstColumn="0" w:lastColumn="0" w:oddVBand="0" w:evenVBand="0" w:oddHBand="0" w:evenHBand="0" w:firstRowFirstColumn="0" w:firstRowLastColumn="0" w:lastRowFirstColumn="0" w:lastRowLastColumn="0"/>
              <w:rPr>
                <w:sz w:val="32"/>
                <w:szCs w:val="32"/>
              </w:rPr>
            </w:pPr>
            <w:r w:rsidRPr="00B1201C">
              <w:rPr>
                <w:sz w:val="32"/>
                <w:szCs w:val="32"/>
              </w:rPr>
              <w:t>Existing Workforce</w:t>
            </w:r>
            <w:r w:rsidR="00FF678C">
              <w:rPr>
                <w:sz w:val="32"/>
                <w:szCs w:val="32"/>
              </w:rPr>
              <w:t xml:space="preserve"> (EW)</w:t>
            </w:r>
          </w:p>
        </w:tc>
        <w:tc>
          <w:tcPr>
            <w:tcW w:w="2977" w:type="dxa"/>
            <w:tcBorders>
              <w:top w:val="single" w:sz="4" w:space="0" w:color="auto"/>
              <w:left w:val="single" w:sz="4" w:space="0" w:color="auto"/>
              <w:right w:val="single" w:sz="4" w:space="0" w:color="auto"/>
            </w:tcBorders>
            <w:shd w:val="clear" w:color="auto" w:fill="2F5496" w:themeFill="accent1" w:themeFillShade="BF"/>
            <w:vAlign w:val="center"/>
          </w:tcPr>
          <w:p w14:paraId="37C1727C" w14:textId="4DF368FB" w:rsidR="00B1201C" w:rsidRPr="00B1201C" w:rsidRDefault="00B1201C" w:rsidP="00B1201C">
            <w:pPr>
              <w:jc w:val="center"/>
              <w:cnfStyle w:val="100000000000" w:firstRow="1" w:lastRow="0" w:firstColumn="0" w:lastColumn="0" w:oddVBand="0" w:evenVBand="0" w:oddHBand="0" w:evenHBand="0" w:firstRowFirstColumn="0" w:firstRowLastColumn="0" w:lastRowFirstColumn="0" w:lastRowLastColumn="0"/>
              <w:rPr>
                <w:sz w:val="32"/>
                <w:szCs w:val="32"/>
              </w:rPr>
            </w:pPr>
            <w:r w:rsidRPr="00B1201C">
              <w:rPr>
                <w:sz w:val="32"/>
                <w:szCs w:val="32"/>
              </w:rPr>
              <w:t>Community</w:t>
            </w:r>
            <w:r w:rsidR="0070589E">
              <w:rPr>
                <w:sz w:val="32"/>
                <w:szCs w:val="32"/>
              </w:rPr>
              <w:t xml:space="preserve"> Initiatives</w:t>
            </w:r>
            <w:r w:rsidR="00FF678C">
              <w:rPr>
                <w:sz w:val="32"/>
                <w:szCs w:val="32"/>
              </w:rPr>
              <w:t xml:space="preserve"> (CI)</w:t>
            </w:r>
          </w:p>
        </w:tc>
        <w:tc>
          <w:tcPr>
            <w:tcW w:w="3404" w:type="dxa"/>
            <w:tcBorders>
              <w:top w:val="single" w:sz="4" w:space="0" w:color="auto"/>
              <w:left w:val="single" w:sz="4" w:space="0" w:color="auto"/>
              <w:right w:val="single" w:sz="4" w:space="0" w:color="auto"/>
            </w:tcBorders>
            <w:shd w:val="clear" w:color="auto" w:fill="2F5496" w:themeFill="accent1" w:themeFillShade="BF"/>
            <w:vAlign w:val="center"/>
          </w:tcPr>
          <w:p w14:paraId="1351E0D5" w14:textId="19A4F308" w:rsidR="00B1201C" w:rsidRPr="00B1201C" w:rsidRDefault="00B1201C" w:rsidP="00B1201C">
            <w:pPr>
              <w:jc w:val="center"/>
              <w:cnfStyle w:val="100000000000" w:firstRow="1" w:lastRow="0" w:firstColumn="0" w:lastColumn="0" w:oddVBand="0" w:evenVBand="0" w:oddHBand="0" w:evenHBand="0" w:firstRowFirstColumn="0" w:firstRowLastColumn="0" w:lastRowFirstColumn="0" w:lastRowLastColumn="0"/>
              <w:rPr>
                <w:sz w:val="32"/>
                <w:szCs w:val="32"/>
              </w:rPr>
            </w:pPr>
            <w:r w:rsidRPr="00B1201C">
              <w:rPr>
                <w:sz w:val="32"/>
                <w:szCs w:val="32"/>
              </w:rPr>
              <w:t>Schools Engagement</w:t>
            </w:r>
            <w:r w:rsidR="00FF678C">
              <w:rPr>
                <w:sz w:val="32"/>
                <w:szCs w:val="32"/>
              </w:rPr>
              <w:t xml:space="preserve"> (SE)</w:t>
            </w:r>
          </w:p>
        </w:tc>
        <w:tc>
          <w:tcPr>
            <w:tcW w:w="3825" w:type="dxa"/>
            <w:tcBorders>
              <w:top w:val="single" w:sz="4" w:space="0" w:color="auto"/>
              <w:left w:val="single" w:sz="4" w:space="0" w:color="auto"/>
              <w:right w:val="single" w:sz="4" w:space="0" w:color="auto"/>
            </w:tcBorders>
            <w:shd w:val="clear" w:color="auto" w:fill="2F5496" w:themeFill="accent1" w:themeFillShade="BF"/>
            <w:vAlign w:val="center"/>
          </w:tcPr>
          <w:p w14:paraId="472B006E" w14:textId="15AF56B0" w:rsidR="006C73D4" w:rsidRPr="00E015D3" w:rsidRDefault="00B1201C" w:rsidP="00E015D3">
            <w:pPr>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r w:rsidRPr="00B1201C">
              <w:rPr>
                <w:sz w:val="32"/>
                <w:szCs w:val="32"/>
              </w:rPr>
              <w:t xml:space="preserve">Future </w:t>
            </w:r>
            <w:r w:rsidR="009360EE">
              <w:rPr>
                <w:sz w:val="32"/>
                <w:szCs w:val="32"/>
              </w:rPr>
              <w:t>W</w:t>
            </w:r>
            <w:r w:rsidRPr="00B1201C">
              <w:rPr>
                <w:sz w:val="32"/>
                <w:szCs w:val="32"/>
              </w:rPr>
              <w:t xml:space="preserve">orkforce </w:t>
            </w:r>
            <w:r w:rsidR="00FF678C">
              <w:rPr>
                <w:sz w:val="32"/>
                <w:szCs w:val="32"/>
              </w:rPr>
              <w:t>(FW)</w:t>
            </w:r>
          </w:p>
        </w:tc>
      </w:tr>
      <w:tr w:rsidR="00713C6F" w14:paraId="77D2CEAE" w14:textId="77777777" w:rsidTr="007D4A3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00B0F0"/>
            <w:vAlign w:val="center"/>
          </w:tcPr>
          <w:p w14:paraId="58A49610" w14:textId="28A702EA" w:rsidR="00713C6F" w:rsidRPr="0073294C" w:rsidRDefault="00713C6F" w:rsidP="0073294C">
            <w:pPr>
              <w:jc w:val="center"/>
              <w:rPr>
                <w:sz w:val="32"/>
                <w:szCs w:val="32"/>
              </w:rPr>
            </w:pPr>
            <w:r>
              <w:rPr>
                <w:sz w:val="32"/>
                <w:szCs w:val="32"/>
              </w:rPr>
              <w:t>EARLY</w:t>
            </w:r>
          </w:p>
        </w:tc>
        <w:tc>
          <w:tcPr>
            <w:tcW w:w="3322" w:type="dxa"/>
            <w:shd w:val="clear" w:color="auto" w:fill="00B0F0"/>
            <w:vAlign w:val="center"/>
          </w:tcPr>
          <w:p w14:paraId="1E419513" w14:textId="7CB64C16" w:rsidR="00713C6F" w:rsidRDefault="003E6825" w:rsidP="00A854A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Limited or n</w:t>
            </w:r>
            <w:r w:rsidR="00A854A6" w:rsidRPr="00A854A6">
              <w:rPr>
                <w:sz w:val="18"/>
                <w:szCs w:val="18"/>
              </w:rPr>
              <w:t xml:space="preserve">o support across </w:t>
            </w:r>
            <w:r>
              <w:rPr>
                <w:sz w:val="18"/>
                <w:szCs w:val="18"/>
              </w:rPr>
              <w:t xml:space="preserve">all </w:t>
            </w:r>
            <w:r w:rsidR="00A854A6" w:rsidRPr="00A854A6">
              <w:rPr>
                <w:sz w:val="18"/>
                <w:szCs w:val="18"/>
              </w:rPr>
              <w:t>the sector</w:t>
            </w:r>
            <w:r>
              <w:rPr>
                <w:sz w:val="18"/>
                <w:szCs w:val="18"/>
              </w:rPr>
              <w:t>s</w:t>
            </w:r>
          </w:p>
          <w:p w14:paraId="7C3E6BD1" w14:textId="1E7954E0" w:rsidR="003E6825" w:rsidRPr="00A854A6" w:rsidRDefault="003E6825" w:rsidP="00A854A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Limited or no focus on Existing Workforce within all sectors</w:t>
            </w:r>
          </w:p>
          <w:p w14:paraId="0F0E537C" w14:textId="72A37E57" w:rsidR="00A854A6" w:rsidRPr="00A854A6" w:rsidRDefault="003E6825" w:rsidP="00A854A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Limited or n</w:t>
            </w:r>
            <w:r w:rsidR="00A854A6" w:rsidRPr="00A854A6">
              <w:rPr>
                <w:sz w:val="18"/>
                <w:szCs w:val="18"/>
              </w:rPr>
              <w:t xml:space="preserve">o linkage across </w:t>
            </w:r>
            <w:r>
              <w:rPr>
                <w:sz w:val="18"/>
                <w:szCs w:val="18"/>
              </w:rPr>
              <w:t xml:space="preserve">all </w:t>
            </w:r>
            <w:r w:rsidR="00A854A6" w:rsidRPr="00A854A6">
              <w:rPr>
                <w:sz w:val="18"/>
                <w:szCs w:val="18"/>
              </w:rPr>
              <w:t>the sector</w:t>
            </w:r>
            <w:r>
              <w:rPr>
                <w:sz w:val="18"/>
                <w:szCs w:val="18"/>
              </w:rPr>
              <w:t>s</w:t>
            </w:r>
          </w:p>
          <w:p w14:paraId="4FE2F196" w14:textId="21D68FAA" w:rsidR="00A854A6" w:rsidRPr="00A854A6" w:rsidRDefault="00A854A6" w:rsidP="00A854A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A854A6">
              <w:rPr>
                <w:sz w:val="18"/>
                <w:szCs w:val="18"/>
              </w:rPr>
              <w:t xml:space="preserve">No plan to </w:t>
            </w:r>
            <w:r w:rsidR="003E6825">
              <w:rPr>
                <w:sz w:val="18"/>
                <w:szCs w:val="18"/>
              </w:rPr>
              <w:t>develop and secure</w:t>
            </w:r>
            <w:r w:rsidRPr="00A854A6">
              <w:rPr>
                <w:sz w:val="18"/>
                <w:szCs w:val="18"/>
              </w:rPr>
              <w:t xml:space="preserve"> the existing workforce</w:t>
            </w:r>
            <w:r w:rsidR="003E6825">
              <w:rPr>
                <w:sz w:val="18"/>
                <w:szCs w:val="18"/>
              </w:rPr>
              <w:t xml:space="preserve"> within all sectors across the SY Region</w:t>
            </w:r>
          </w:p>
          <w:p w14:paraId="3D1DB8B5" w14:textId="09E5498E" w:rsidR="00656617" w:rsidRDefault="00656617" w:rsidP="00656617">
            <w:pPr>
              <w:cnfStyle w:val="000000100000" w:firstRow="0" w:lastRow="0" w:firstColumn="0" w:lastColumn="0" w:oddVBand="0" w:evenVBand="0" w:oddHBand="1" w:evenHBand="0" w:firstRowFirstColumn="0" w:firstRowLastColumn="0" w:lastRowFirstColumn="0" w:lastRowLastColumn="0"/>
            </w:pPr>
          </w:p>
        </w:tc>
        <w:tc>
          <w:tcPr>
            <w:tcW w:w="2977" w:type="dxa"/>
            <w:shd w:val="clear" w:color="auto" w:fill="00B0F0"/>
            <w:vAlign w:val="center"/>
          </w:tcPr>
          <w:p w14:paraId="0579F35F" w14:textId="77777777"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Limited or no support across all the sectors</w:t>
            </w:r>
          </w:p>
          <w:p w14:paraId="327A4526" w14:textId="55F3596C"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 xml:space="preserve">Limited or no focus on </w:t>
            </w:r>
            <w:r>
              <w:rPr>
                <w:sz w:val="18"/>
                <w:szCs w:val="18"/>
              </w:rPr>
              <w:t>Community Initiatives</w:t>
            </w:r>
            <w:r w:rsidRPr="003E6825">
              <w:rPr>
                <w:sz w:val="18"/>
                <w:szCs w:val="18"/>
              </w:rPr>
              <w:t xml:space="preserve"> within all sectors</w:t>
            </w:r>
          </w:p>
          <w:p w14:paraId="17BBA124" w14:textId="77777777"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Limited or no linkage across all the sectors</w:t>
            </w:r>
          </w:p>
          <w:p w14:paraId="1421AFDB" w14:textId="65D47DD4"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 xml:space="preserve">No plan to develop </w:t>
            </w:r>
            <w:r>
              <w:rPr>
                <w:sz w:val="18"/>
                <w:szCs w:val="18"/>
              </w:rPr>
              <w:t>and support the community initiatives across the SY Region</w:t>
            </w:r>
            <w:r w:rsidRPr="003E6825">
              <w:rPr>
                <w:sz w:val="18"/>
                <w:szCs w:val="18"/>
              </w:rPr>
              <w:t xml:space="preserve"> </w:t>
            </w:r>
          </w:p>
          <w:p w14:paraId="3843C9E0" w14:textId="77777777" w:rsidR="00713C6F" w:rsidRDefault="00713C6F">
            <w:pPr>
              <w:cnfStyle w:val="000000100000" w:firstRow="0" w:lastRow="0" w:firstColumn="0" w:lastColumn="0" w:oddVBand="0" w:evenVBand="0" w:oddHBand="1" w:evenHBand="0" w:firstRowFirstColumn="0" w:firstRowLastColumn="0" w:lastRowFirstColumn="0" w:lastRowLastColumn="0"/>
            </w:pPr>
          </w:p>
        </w:tc>
        <w:tc>
          <w:tcPr>
            <w:tcW w:w="3404" w:type="dxa"/>
            <w:shd w:val="clear" w:color="auto" w:fill="00B0F0"/>
            <w:vAlign w:val="center"/>
          </w:tcPr>
          <w:p w14:paraId="771DE35D" w14:textId="77777777"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Limited or no support across all the sectors</w:t>
            </w:r>
          </w:p>
          <w:p w14:paraId="50A86C02" w14:textId="2ED05A0D"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 xml:space="preserve">Limited or no focus on </w:t>
            </w:r>
            <w:r>
              <w:rPr>
                <w:sz w:val="18"/>
                <w:szCs w:val="18"/>
              </w:rPr>
              <w:t xml:space="preserve">Schools Engagement </w:t>
            </w:r>
            <w:r w:rsidRPr="003E6825">
              <w:rPr>
                <w:sz w:val="18"/>
                <w:szCs w:val="18"/>
              </w:rPr>
              <w:t>within all sectors</w:t>
            </w:r>
          </w:p>
          <w:p w14:paraId="68446111" w14:textId="39723315"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 xml:space="preserve">Limited or no linkage across all the </w:t>
            </w:r>
            <w:r>
              <w:rPr>
                <w:sz w:val="18"/>
                <w:szCs w:val="18"/>
              </w:rPr>
              <w:t xml:space="preserve">relevant </w:t>
            </w:r>
            <w:r w:rsidRPr="003E6825">
              <w:rPr>
                <w:sz w:val="18"/>
                <w:szCs w:val="18"/>
              </w:rPr>
              <w:t>sectors</w:t>
            </w:r>
          </w:p>
          <w:p w14:paraId="224CA8F0" w14:textId="24023186"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Limited or n</w:t>
            </w:r>
            <w:r w:rsidRPr="003E6825">
              <w:rPr>
                <w:sz w:val="18"/>
                <w:szCs w:val="18"/>
              </w:rPr>
              <w:t>o plan to engag</w:t>
            </w:r>
            <w:r>
              <w:rPr>
                <w:sz w:val="18"/>
                <w:szCs w:val="18"/>
              </w:rPr>
              <w:t xml:space="preserve">e schools </w:t>
            </w:r>
            <w:r w:rsidRPr="003E6825">
              <w:rPr>
                <w:sz w:val="18"/>
                <w:szCs w:val="18"/>
              </w:rPr>
              <w:t xml:space="preserve"> </w:t>
            </w:r>
            <w:r>
              <w:rPr>
                <w:sz w:val="18"/>
                <w:szCs w:val="18"/>
              </w:rPr>
              <w:t>by any sector within H&amp;SC across the SY Region</w:t>
            </w:r>
            <w:r w:rsidRPr="003E6825">
              <w:rPr>
                <w:sz w:val="18"/>
                <w:szCs w:val="18"/>
              </w:rPr>
              <w:t xml:space="preserve"> </w:t>
            </w:r>
          </w:p>
          <w:p w14:paraId="1BA47337" w14:textId="23044D80" w:rsidR="00713C6F" w:rsidRPr="00A854A6" w:rsidRDefault="00713C6F" w:rsidP="003E6825">
            <w:p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3825" w:type="dxa"/>
            <w:shd w:val="clear" w:color="auto" w:fill="00B0F0"/>
            <w:vAlign w:val="center"/>
          </w:tcPr>
          <w:p w14:paraId="26433F95" w14:textId="248A01D1"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Limited or no support across all the sectors</w:t>
            </w:r>
          </w:p>
          <w:p w14:paraId="7CEAF970" w14:textId="5223E261"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 xml:space="preserve">Limited or no focus on </w:t>
            </w:r>
            <w:r>
              <w:rPr>
                <w:sz w:val="18"/>
                <w:szCs w:val="18"/>
              </w:rPr>
              <w:t xml:space="preserve">Future Workforce </w:t>
            </w:r>
            <w:r w:rsidRPr="003E6825">
              <w:rPr>
                <w:sz w:val="18"/>
                <w:szCs w:val="18"/>
              </w:rPr>
              <w:t>within all sectors</w:t>
            </w:r>
          </w:p>
          <w:p w14:paraId="5D70345F" w14:textId="77777777" w:rsidR="003E6825" w:rsidRPr="003E6825" w:rsidRDefault="003E6825"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3E6825">
              <w:rPr>
                <w:sz w:val="18"/>
                <w:szCs w:val="18"/>
              </w:rPr>
              <w:t>Limited or no linkage across all the sectors</w:t>
            </w:r>
          </w:p>
          <w:p w14:paraId="349615ED" w14:textId="6418A60C" w:rsidR="003E6825" w:rsidRPr="003E6825" w:rsidRDefault="009360EE" w:rsidP="003E6825">
            <w:pPr>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Limited, un-cohesive or n</w:t>
            </w:r>
            <w:r w:rsidR="003E6825" w:rsidRPr="003E6825">
              <w:rPr>
                <w:sz w:val="18"/>
                <w:szCs w:val="18"/>
              </w:rPr>
              <w:t xml:space="preserve">o plan to </w:t>
            </w:r>
            <w:r w:rsidR="003E6825">
              <w:rPr>
                <w:sz w:val="18"/>
                <w:szCs w:val="18"/>
              </w:rPr>
              <w:t xml:space="preserve">develop and support </w:t>
            </w:r>
            <w:r w:rsidR="003E6825" w:rsidRPr="003E6825">
              <w:rPr>
                <w:sz w:val="18"/>
                <w:szCs w:val="18"/>
              </w:rPr>
              <w:t xml:space="preserve"> the </w:t>
            </w:r>
            <w:r w:rsidR="003E6825">
              <w:rPr>
                <w:sz w:val="18"/>
                <w:szCs w:val="18"/>
              </w:rPr>
              <w:t>Future Workforce</w:t>
            </w:r>
            <w:r w:rsidR="003E6825" w:rsidRPr="003E6825">
              <w:rPr>
                <w:sz w:val="18"/>
                <w:szCs w:val="18"/>
              </w:rPr>
              <w:t xml:space="preserve"> within all sectors </w:t>
            </w:r>
            <w:r>
              <w:rPr>
                <w:sz w:val="18"/>
                <w:szCs w:val="18"/>
              </w:rPr>
              <w:t>across the SY Region</w:t>
            </w:r>
          </w:p>
          <w:p w14:paraId="0EE4BA7C" w14:textId="0E4C7578" w:rsidR="00713C6F" w:rsidRPr="00A854A6" w:rsidRDefault="00713C6F" w:rsidP="003E6825">
            <w:pPr>
              <w:ind w:left="720"/>
              <w:cnfStyle w:val="000000100000" w:firstRow="0" w:lastRow="0" w:firstColumn="0" w:lastColumn="0" w:oddVBand="0" w:evenVBand="0" w:oddHBand="1" w:evenHBand="0" w:firstRowFirstColumn="0" w:firstRowLastColumn="0" w:lastRowFirstColumn="0" w:lastRowLastColumn="0"/>
              <w:rPr>
                <w:sz w:val="18"/>
                <w:szCs w:val="18"/>
              </w:rPr>
            </w:pPr>
          </w:p>
        </w:tc>
      </w:tr>
      <w:tr w:rsidR="004F1A08" w14:paraId="213229F6" w14:textId="77777777" w:rsidTr="007D4A37">
        <w:trPr>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FFFF00"/>
            <w:vAlign w:val="center"/>
          </w:tcPr>
          <w:p w14:paraId="6CEA0586" w14:textId="7999CFA4" w:rsidR="004F1A08" w:rsidRPr="00713C6F" w:rsidRDefault="004F1A08" w:rsidP="004F1A08">
            <w:pPr>
              <w:jc w:val="center"/>
              <w:rPr>
                <w:sz w:val="32"/>
                <w:szCs w:val="32"/>
              </w:rPr>
            </w:pPr>
            <w:r>
              <w:rPr>
                <w:sz w:val="32"/>
                <w:szCs w:val="32"/>
              </w:rPr>
              <w:t>DEVELOPING</w:t>
            </w:r>
          </w:p>
        </w:tc>
        <w:tc>
          <w:tcPr>
            <w:tcW w:w="3322" w:type="dxa"/>
            <w:shd w:val="clear" w:color="auto" w:fill="FFFF00"/>
            <w:vAlign w:val="center"/>
          </w:tcPr>
          <w:p w14:paraId="68E2E222" w14:textId="4D205044"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4F1A08">
              <w:t>UNDER DEVELOPMENT</w:t>
            </w:r>
          </w:p>
        </w:tc>
        <w:tc>
          <w:tcPr>
            <w:tcW w:w="2977" w:type="dxa"/>
            <w:shd w:val="clear" w:color="auto" w:fill="FFFF00"/>
          </w:tcPr>
          <w:p w14:paraId="630A2750" w14:textId="590E1BFB"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8F1D82">
              <w:t xml:space="preserve">UNDER DEVELOPMENT </w:t>
            </w:r>
          </w:p>
        </w:tc>
        <w:tc>
          <w:tcPr>
            <w:tcW w:w="3404" w:type="dxa"/>
            <w:shd w:val="clear" w:color="auto" w:fill="FFFF00"/>
          </w:tcPr>
          <w:p w14:paraId="179316A9" w14:textId="0D545DDA"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8F1D82">
              <w:t xml:space="preserve">UNDER DEVELOPMENT </w:t>
            </w:r>
          </w:p>
        </w:tc>
        <w:tc>
          <w:tcPr>
            <w:tcW w:w="3825" w:type="dxa"/>
            <w:shd w:val="clear" w:color="auto" w:fill="FFFF00"/>
          </w:tcPr>
          <w:p w14:paraId="00D908C5" w14:textId="78A13CB9"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8F1D82">
              <w:t xml:space="preserve">UNDER DEVELOPMENT </w:t>
            </w:r>
          </w:p>
        </w:tc>
      </w:tr>
      <w:tr w:rsidR="004F1A08" w14:paraId="436017C7" w14:textId="77777777" w:rsidTr="007D4A3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FFC000"/>
            <w:vAlign w:val="center"/>
          </w:tcPr>
          <w:p w14:paraId="1C808548" w14:textId="0190495A" w:rsidR="004F1A08" w:rsidRPr="0073294C" w:rsidRDefault="004F1A08" w:rsidP="004F1A08">
            <w:pPr>
              <w:jc w:val="center"/>
              <w:rPr>
                <w:color w:val="auto"/>
                <w:sz w:val="32"/>
                <w:szCs w:val="32"/>
              </w:rPr>
            </w:pPr>
            <w:r w:rsidRPr="00713C6F">
              <w:rPr>
                <w:sz w:val="32"/>
                <w:szCs w:val="32"/>
              </w:rPr>
              <w:t>M</w:t>
            </w:r>
            <w:r>
              <w:rPr>
                <w:sz w:val="32"/>
                <w:szCs w:val="32"/>
              </w:rPr>
              <w:t xml:space="preserve">ATURING </w:t>
            </w:r>
          </w:p>
        </w:tc>
        <w:tc>
          <w:tcPr>
            <w:tcW w:w="3322" w:type="dxa"/>
            <w:shd w:val="clear" w:color="auto" w:fill="FFC000"/>
          </w:tcPr>
          <w:p w14:paraId="0985E201" w14:textId="17DFA2B2" w:rsidR="004F1A08" w:rsidRDefault="004F1A08" w:rsidP="004F1A08">
            <w:pPr>
              <w:cnfStyle w:val="000000100000" w:firstRow="0" w:lastRow="0" w:firstColumn="0" w:lastColumn="0" w:oddVBand="0" w:evenVBand="0" w:oddHBand="1" w:evenHBand="0" w:firstRowFirstColumn="0" w:firstRowLastColumn="0" w:lastRowFirstColumn="0" w:lastRowLastColumn="0"/>
            </w:pPr>
            <w:r w:rsidRPr="00DB132E">
              <w:t xml:space="preserve">UNDER DEVELOPMENT </w:t>
            </w:r>
          </w:p>
        </w:tc>
        <w:tc>
          <w:tcPr>
            <w:tcW w:w="2977" w:type="dxa"/>
            <w:shd w:val="clear" w:color="auto" w:fill="FFC000"/>
          </w:tcPr>
          <w:p w14:paraId="703BFD17" w14:textId="79715124" w:rsidR="004F1A08" w:rsidRDefault="004F1A08" w:rsidP="004F1A08">
            <w:pPr>
              <w:cnfStyle w:val="000000100000" w:firstRow="0" w:lastRow="0" w:firstColumn="0" w:lastColumn="0" w:oddVBand="0" w:evenVBand="0" w:oddHBand="1" w:evenHBand="0" w:firstRowFirstColumn="0" w:firstRowLastColumn="0" w:lastRowFirstColumn="0" w:lastRowLastColumn="0"/>
            </w:pPr>
            <w:r w:rsidRPr="00DB132E">
              <w:t xml:space="preserve">UNDER DEVELOPMENT </w:t>
            </w:r>
          </w:p>
        </w:tc>
        <w:tc>
          <w:tcPr>
            <w:tcW w:w="3404" w:type="dxa"/>
            <w:shd w:val="clear" w:color="auto" w:fill="FFC000"/>
          </w:tcPr>
          <w:p w14:paraId="486950CE" w14:textId="0B42C10D" w:rsidR="004F1A08" w:rsidRDefault="004F1A08" w:rsidP="004F1A08">
            <w:pPr>
              <w:cnfStyle w:val="000000100000" w:firstRow="0" w:lastRow="0" w:firstColumn="0" w:lastColumn="0" w:oddVBand="0" w:evenVBand="0" w:oddHBand="1" w:evenHBand="0" w:firstRowFirstColumn="0" w:firstRowLastColumn="0" w:lastRowFirstColumn="0" w:lastRowLastColumn="0"/>
            </w:pPr>
            <w:r w:rsidRPr="00DB132E">
              <w:t xml:space="preserve">UNDER DEVELOPMENT </w:t>
            </w:r>
          </w:p>
        </w:tc>
        <w:tc>
          <w:tcPr>
            <w:tcW w:w="3825" w:type="dxa"/>
            <w:shd w:val="clear" w:color="auto" w:fill="FFC000"/>
          </w:tcPr>
          <w:p w14:paraId="0B4DD138" w14:textId="1AF4C3A7" w:rsidR="004F1A08" w:rsidRDefault="004F1A08" w:rsidP="004F1A08">
            <w:pPr>
              <w:cnfStyle w:val="000000100000" w:firstRow="0" w:lastRow="0" w:firstColumn="0" w:lastColumn="0" w:oddVBand="0" w:evenVBand="0" w:oddHBand="1" w:evenHBand="0" w:firstRowFirstColumn="0" w:firstRowLastColumn="0" w:lastRowFirstColumn="0" w:lastRowLastColumn="0"/>
            </w:pPr>
            <w:r w:rsidRPr="00DB132E">
              <w:t xml:space="preserve">UNDER DEVELOPMENT </w:t>
            </w:r>
          </w:p>
        </w:tc>
      </w:tr>
      <w:tr w:rsidR="004F1A08" w14:paraId="0B8D0B96" w14:textId="77777777" w:rsidTr="007D4A37">
        <w:trPr>
          <w:trHeight w:val="1702"/>
        </w:trPr>
        <w:tc>
          <w:tcPr>
            <w:cnfStyle w:val="001000000000" w:firstRow="0" w:lastRow="0" w:firstColumn="1" w:lastColumn="0" w:oddVBand="0" w:evenVBand="0" w:oddHBand="0" w:evenHBand="0" w:firstRowFirstColumn="0" w:firstRowLastColumn="0" w:lastRowFirstColumn="0" w:lastRowLastColumn="0"/>
            <w:tcW w:w="2349" w:type="dxa"/>
            <w:shd w:val="clear" w:color="auto" w:fill="65F56C"/>
            <w:vAlign w:val="center"/>
          </w:tcPr>
          <w:p w14:paraId="4CC30DAD" w14:textId="02495554" w:rsidR="004F1A08" w:rsidRPr="0073294C" w:rsidRDefault="004F1A08" w:rsidP="004F1A08">
            <w:pPr>
              <w:jc w:val="center"/>
              <w:rPr>
                <w:sz w:val="32"/>
                <w:szCs w:val="32"/>
              </w:rPr>
            </w:pPr>
            <w:r>
              <w:rPr>
                <w:sz w:val="32"/>
                <w:szCs w:val="32"/>
              </w:rPr>
              <w:t xml:space="preserve">MATURED </w:t>
            </w:r>
          </w:p>
        </w:tc>
        <w:tc>
          <w:tcPr>
            <w:tcW w:w="3322" w:type="dxa"/>
            <w:shd w:val="clear" w:color="auto" w:fill="65F56C"/>
          </w:tcPr>
          <w:p w14:paraId="71F070EC" w14:textId="18EE8BC4"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E73470">
              <w:t xml:space="preserve">UNDER DEVELOPMENT </w:t>
            </w:r>
          </w:p>
        </w:tc>
        <w:tc>
          <w:tcPr>
            <w:tcW w:w="2977" w:type="dxa"/>
            <w:shd w:val="clear" w:color="auto" w:fill="65F56C"/>
          </w:tcPr>
          <w:p w14:paraId="30290E16" w14:textId="1274A803"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E73470">
              <w:t xml:space="preserve">UNDER DEVELOPMENT </w:t>
            </w:r>
          </w:p>
        </w:tc>
        <w:tc>
          <w:tcPr>
            <w:tcW w:w="3404" w:type="dxa"/>
            <w:shd w:val="clear" w:color="auto" w:fill="65F56C"/>
          </w:tcPr>
          <w:p w14:paraId="320E41AD" w14:textId="205E2B59"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E73470">
              <w:t xml:space="preserve">UNDER DEVELOPMENT </w:t>
            </w:r>
          </w:p>
        </w:tc>
        <w:tc>
          <w:tcPr>
            <w:tcW w:w="3825" w:type="dxa"/>
            <w:shd w:val="clear" w:color="auto" w:fill="65F56C"/>
          </w:tcPr>
          <w:p w14:paraId="67FA61F6" w14:textId="57B1A7E8" w:rsidR="004F1A08" w:rsidRDefault="004F1A08" w:rsidP="004F1A08">
            <w:pPr>
              <w:cnfStyle w:val="000000000000" w:firstRow="0" w:lastRow="0" w:firstColumn="0" w:lastColumn="0" w:oddVBand="0" w:evenVBand="0" w:oddHBand="0" w:evenHBand="0" w:firstRowFirstColumn="0" w:firstRowLastColumn="0" w:lastRowFirstColumn="0" w:lastRowLastColumn="0"/>
            </w:pPr>
            <w:r w:rsidRPr="00E73470">
              <w:t xml:space="preserve">UNDER DEVELOPMENT </w:t>
            </w:r>
          </w:p>
        </w:tc>
      </w:tr>
      <w:tr w:rsidR="00713C6F" w14:paraId="4C85B42A" w14:textId="77777777" w:rsidTr="007D4A37">
        <w:trPr>
          <w:cnfStyle w:val="000000100000" w:firstRow="0" w:lastRow="0" w:firstColumn="0" w:lastColumn="0" w:oddVBand="0" w:evenVBand="0" w:oddHBand="1" w:evenHBand="0" w:firstRowFirstColumn="0" w:firstRowLastColumn="0" w:lastRowFirstColumn="0" w:lastRowLastColumn="0"/>
          <w:trHeight w:val="1668"/>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48E63406" w14:textId="4A95D853" w:rsidR="00713C6F" w:rsidRPr="00B1201C" w:rsidRDefault="00713C6F" w:rsidP="00713C6F">
            <w:pPr>
              <w:rPr>
                <w:sz w:val="32"/>
                <w:szCs w:val="32"/>
              </w:rPr>
            </w:pPr>
            <w:r>
              <w:rPr>
                <w:sz w:val="32"/>
                <w:szCs w:val="32"/>
              </w:rPr>
              <w:lastRenderedPageBreak/>
              <w:t>WORKSTREAM FOCUS AREA</w:t>
            </w:r>
          </w:p>
        </w:tc>
        <w:tc>
          <w:tcPr>
            <w:tcW w:w="3322" w:type="dxa"/>
            <w:shd w:val="clear" w:color="auto" w:fill="FFFFFF" w:themeFill="background1"/>
            <w:vAlign w:val="center"/>
          </w:tcPr>
          <w:p w14:paraId="198572A5" w14:textId="77777777" w:rsidR="00713C6F" w:rsidRPr="00E015D3" w:rsidRDefault="00713C6F" w:rsidP="00713C6F">
            <w:pPr>
              <w:jc w:val="both"/>
              <w:cnfStyle w:val="000000100000" w:firstRow="0" w:lastRow="0" w:firstColumn="0" w:lastColumn="0" w:oddVBand="0" w:evenVBand="0" w:oddHBand="1" w:evenHBand="0" w:firstRowFirstColumn="0" w:firstRowLastColumn="0" w:lastRowFirstColumn="0" w:lastRowLastColumn="0"/>
              <w:rPr>
                <w:sz w:val="18"/>
                <w:szCs w:val="18"/>
              </w:rPr>
            </w:pPr>
            <w:r w:rsidRPr="00E015D3">
              <w:rPr>
                <w:sz w:val="18"/>
                <w:szCs w:val="18"/>
              </w:rPr>
              <w:t>Focus on parity between roles and between Health and Social Care, learning needs, gaps, providers, funding and produce </w:t>
            </w:r>
            <w:r w:rsidRPr="00E015D3">
              <w:rPr>
                <w:b/>
                <w:bCs/>
                <w:sz w:val="18"/>
                <w:szCs w:val="18"/>
              </w:rPr>
              <w:t>CAREER MAPS</w:t>
            </w:r>
            <w:r w:rsidRPr="00E015D3">
              <w:rPr>
                <w:sz w:val="18"/>
                <w:szCs w:val="18"/>
              </w:rPr>
              <w:t> for key role</w:t>
            </w:r>
          </w:p>
          <w:p w14:paraId="4266AD3C" w14:textId="77777777" w:rsidR="00713C6F" w:rsidRPr="00E015D3" w:rsidRDefault="00713C6F" w:rsidP="00713C6F">
            <w:pPr>
              <w:cnfStyle w:val="000000100000" w:firstRow="0" w:lastRow="0" w:firstColumn="0" w:lastColumn="0" w:oddVBand="0" w:evenVBand="0" w:oddHBand="1" w:evenHBand="0" w:firstRowFirstColumn="0" w:firstRowLastColumn="0" w:lastRowFirstColumn="0" w:lastRowLastColumn="0"/>
              <w:rPr>
                <w:sz w:val="18"/>
                <w:szCs w:val="18"/>
              </w:rPr>
            </w:pPr>
          </w:p>
        </w:tc>
        <w:tc>
          <w:tcPr>
            <w:tcW w:w="2977" w:type="dxa"/>
            <w:shd w:val="clear" w:color="auto" w:fill="FFFFFF" w:themeFill="background1"/>
            <w:vAlign w:val="center"/>
          </w:tcPr>
          <w:p w14:paraId="7810B594" w14:textId="2F8BE2CF" w:rsidR="00713C6F" w:rsidRPr="00E015D3" w:rsidRDefault="00713C6F" w:rsidP="00713C6F">
            <w:pPr>
              <w:jc w:val="both"/>
              <w:cnfStyle w:val="000000100000" w:firstRow="0" w:lastRow="0" w:firstColumn="0" w:lastColumn="0" w:oddVBand="0" w:evenVBand="0" w:oddHBand="1" w:evenHBand="0" w:firstRowFirstColumn="0" w:firstRowLastColumn="0" w:lastRowFirstColumn="0" w:lastRowLastColumn="0"/>
              <w:rPr>
                <w:sz w:val="18"/>
                <w:szCs w:val="18"/>
              </w:rPr>
            </w:pPr>
            <w:r w:rsidRPr="00E015D3">
              <w:rPr>
                <w:sz w:val="18"/>
                <w:szCs w:val="18"/>
              </w:rPr>
              <w:t xml:space="preserve">Focus on how to attract talent from adults in communities into a range of care and support roles, closing skills gaps and raising aspirations through career opportunities as demonstrated in the </w:t>
            </w:r>
            <w:r w:rsidRPr="00E015D3">
              <w:rPr>
                <w:b/>
                <w:bCs/>
                <w:sz w:val="18"/>
                <w:szCs w:val="18"/>
              </w:rPr>
              <w:t>CAREER MAPS</w:t>
            </w:r>
          </w:p>
        </w:tc>
        <w:tc>
          <w:tcPr>
            <w:tcW w:w="3404" w:type="dxa"/>
            <w:shd w:val="clear" w:color="auto" w:fill="FFFFFF" w:themeFill="background1"/>
            <w:vAlign w:val="center"/>
          </w:tcPr>
          <w:p w14:paraId="42471750" w14:textId="77777777" w:rsidR="0033146F" w:rsidRPr="00E015D3" w:rsidRDefault="0033146F" w:rsidP="00713C6F">
            <w:pPr>
              <w:jc w:val="both"/>
              <w:cnfStyle w:val="000000100000" w:firstRow="0" w:lastRow="0" w:firstColumn="0" w:lastColumn="0" w:oddVBand="0" w:evenVBand="0" w:oddHBand="1" w:evenHBand="0" w:firstRowFirstColumn="0" w:firstRowLastColumn="0" w:lastRowFirstColumn="0" w:lastRowLastColumn="0"/>
              <w:rPr>
                <w:sz w:val="18"/>
                <w:szCs w:val="18"/>
              </w:rPr>
            </w:pPr>
          </w:p>
          <w:p w14:paraId="3412E65A" w14:textId="294E7765" w:rsidR="00713C6F" w:rsidRPr="00E015D3" w:rsidRDefault="0033146F" w:rsidP="00713C6F">
            <w:pPr>
              <w:jc w:val="both"/>
              <w:cnfStyle w:val="000000100000" w:firstRow="0" w:lastRow="0" w:firstColumn="0" w:lastColumn="0" w:oddVBand="0" w:evenVBand="0" w:oddHBand="1" w:evenHBand="0" w:firstRowFirstColumn="0" w:firstRowLastColumn="0" w:lastRowFirstColumn="0" w:lastRowLastColumn="0"/>
              <w:rPr>
                <w:sz w:val="18"/>
                <w:szCs w:val="18"/>
              </w:rPr>
            </w:pPr>
            <w:r w:rsidRPr="00E015D3">
              <w:rPr>
                <w:sz w:val="18"/>
                <w:szCs w:val="18"/>
              </w:rPr>
              <w:t>F</w:t>
            </w:r>
            <w:r w:rsidR="00713C6F" w:rsidRPr="00E015D3">
              <w:rPr>
                <w:sz w:val="18"/>
                <w:szCs w:val="18"/>
              </w:rPr>
              <w:t>ocus on how to promote the range of care and support roles available, influence pupil choices (GCSE, A levels, T-levels and apprenticeships) and utilise the </w:t>
            </w:r>
            <w:r w:rsidR="00713C6F" w:rsidRPr="00E015D3">
              <w:rPr>
                <w:b/>
                <w:bCs/>
                <w:sz w:val="18"/>
                <w:szCs w:val="18"/>
              </w:rPr>
              <w:t>CAREER</w:t>
            </w:r>
            <w:r w:rsidRPr="00E015D3">
              <w:rPr>
                <w:b/>
                <w:bCs/>
                <w:sz w:val="18"/>
                <w:szCs w:val="18"/>
              </w:rPr>
              <w:t xml:space="preserve"> </w:t>
            </w:r>
            <w:r w:rsidR="00713C6F" w:rsidRPr="00E015D3">
              <w:rPr>
                <w:b/>
                <w:bCs/>
                <w:sz w:val="18"/>
                <w:szCs w:val="18"/>
              </w:rPr>
              <w:t>MAPS </w:t>
            </w:r>
            <w:r w:rsidR="00713C6F" w:rsidRPr="00E015D3">
              <w:rPr>
                <w:sz w:val="18"/>
                <w:szCs w:val="18"/>
              </w:rPr>
              <w:t>to demonstrate great progression opportunities in Health and Social Care</w:t>
            </w:r>
          </w:p>
        </w:tc>
        <w:tc>
          <w:tcPr>
            <w:tcW w:w="3825" w:type="dxa"/>
            <w:shd w:val="clear" w:color="auto" w:fill="FFFFFF" w:themeFill="background1"/>
            <w:vAlign w:val="center"/>
          </w:tcPr>
          <w:p w14:paraId="541BE0A3" w14:textId="2D99A2D1" w:rsidR="00713C6F" w:rsidRPr="00E015D3" w:rsidRDefault="00713C6F" w:rsidP="00713C6F">
            <w:pPr>
              <w:jc w:val="both"/>
              <w:cnfStyle w:val="000000100000" w:firstRow="0" w:lastRow="0" w:firstColumn="0" w:lastColumn="0" w:oddVBand="0" w:evenVBand="0" w:oddHBand="1" w:evenHBand="0" w:firstRowFirstColumn="0" w:firstRowLastColumn="0" w:lastRowFirstColumn="0" w:lastRowLastColumn="0"/>
              <w:rPr>
                <w:sz w:val="18"/>
                <w:szCs w:val="18"/>
              </w:rPr>
            </w:pPr>
            <w:r w:rsidRPr="00E015D3">
              <w:rPr>
                <w:sz w:val="18"/>
                <w:szCs w:val="18"/>
              </w:rPr>
              <w:t xml:space="preserve">A shared focus on the </w:t>
            </w:r>
            <w:r w:rsidR="00E972BC" w:rsidRPr="00E015D3">
              <w:rPr>
                <w:sz w:val="18"/>
                <w:szCs w:val="18"/>
              </w:rPr>
              <w:t xml:space="preserve">emerging </w:t>
            </w:r>
            <w:r w:rsidRPr="00E015D3">
              <w:rPr>
                <w:sz w:val="18"/>
                <w:szCs w:val="18"/>
              </w:rPr>
              <w:t xml:space="preserve">theme that overlap </w:t>
            </w:r>
            <w:r w:rsidR="00E972BC" w:rsidRPr="00E015D3">
              <w:rPr>
                <w:sz w:val="18"/>
                <w:szCs w:val="18"/>
              </w:rPr>
              <w:t>in</w:t>
            </w:r>
            <w:r w:rsidR="0094211C" w:rsidRPr="00E015D3">
              <w:rPr>
                <w:sz w:val="18"/>
                <w:szCs w:val="18"/>
              </w:rPr>
              <w:t xml:space="preserve"> each workstream</w:t>
            </w:r>
            <w:r w:rsidR="00E972BC" w:rsidRPr="00E015D3">
              <w:rPr>
                <w:sz w:val="18"/>
                <w:szCs w:val="18"/>
              </w:rPr>
              <w:t xml:space="preserve">, actively encourage and support </w:t>
            </w:r>
            <w:r w:rsidRPr="00E015D3">
              <w:rPr>
                <w:sz w:val="18"/>
                <w:szCs w:val="18"/>
              </w:rPr>
              <w:t>work</w:t>
            </w:r>
            <w:r w:rsidR="00E972BC" w:rsidRPr="00E015D3">
              <w:rPr>
                <w:sz w:val="18"/>
                <w:szCs w:val="18"/>
              </w:rPr>
              <w:t>ing</w:t>
            </w:r>
            <w:r w:rsidRPr="00E015D3">
              <w:rPr>
                <w:sz w:val="18"/>
                <w:szCs w:val="18"/>
              </w:rPr>
              <w:t xml:space="preserve"> in partnership for the combined benefit of care and support staff within the Health and Social Care sector</w:t>
            </w:r>
          </w:p>
        </w:tc>
      </w:tr>
      <w:tr w:rsidR="00713C6F" w14:paraId="2CA2B06E" w14:textId="77777777" w:rsidTr="007D4A37">
        <w:trPr>
          <w:trHeight w:val="153"/>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01E94AD6" w14:textId="77DC13C6" w:rsidR="00713C6F" w:rsidRDefault="00713C6F" w:rsidP="00713C6F">
            <w:pPr>
              <w:rPr>
                <w:b w:val="0"/>
                <w:bCs w:val="0"/>
                <w:sz w:val="32"/>
                <w:szCs w:val="32"/>
              </w:rPr>
            </w:pPr>
            <w:r w:rsidRPr="00713C6F">
              <w:rPr>
                <w:sz w:val="32"/>
                <w:szCs w:val="32"/>
              </w:rPr>
              <w:t xml:space="preserve">Task &amp; Finish </w:t>
            </w:r>
            <w:r>
              <w:rPr>
                <w:sz w:val="32"/>
                <w:szCs w:val="32"/>
              </w:rPr>
              <w:t>Groups</w:t>
            </w:r>
          </w:p>
          <w:p w14:paraId="2A565593" w14:textId="189CE16D" w:rsidR="00713C6F" w:rsidRDefault="00713C6F" w:rsidP="00713C6F">
            <w:pPr>
              <w:rPr>
                <w:sz w:val="32"/>
                <w:szCs w:val="32"/>
              </w:rPr>
            </w:pPr>
            <w:r w:rsidRPr="00713C6F">
              <w:rPr>
                <w:sz w:val="32"/>
                <w:szCs w:val="32"/>
              </w:rPr>
              <w:t>Identified Foc</w:t>
            </w:r>
            <w:r w:rsidR="00D369A4">
              <w:rPr>
                <w:sz w:val="32"/>
                <w:szCs w:val="32"/>
              </w:rPr>
              <w:t>al</w:t>
            </w:r>
            <w:r w:rsidRPr="00713C6F">
              <w:rPr>
                <w:sz w:val="32"/>
                <w:szCs w:val="32"/>
              </w:rPr>
              <w:t xml:space="preserve"> </w:t>
            </w:r>
            <w:r>
              <w:rPr>
                <w:sz w:val="32"/>
                <w:szCs w:val="32"/>
              </w:rPr>
              <w:t xml:space="preserve">Points </w:t>
            </w:r>
          </w:p>
        </w:tc>
        <w:tc>
          <w:tcPr>
            <w:tcW w:w="3322" w:type="dxa"/>
            <w:shd w:val="clear" w:color="auto" w:fill="FFFFFF" w:themeFill="background1"/>
            <w:vAlign w:val="center"/>
          </w:tcPr>
          <w:p w14:paraId="3F652ADE" w14:textId="6010B162" w:rsidR="00414166" w:rsidRPr="00AC58DD" w:rsidRDefault="00414166"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Study skills</w:t>
            </w:r>
            <w:r w:rsidR="00AC58DD" w:rsidRPr="00AC58DD">
              <w:rPr>
                <w:color w:val="000000" w:themeColor="text1"/>
                <w:sz w:val="18"/>
                <w:szCs w:val="18"/>
              </w:rPr>
              <w:t xml:space="preserve">. </w:t>
            </w:r>
            <w:r w:rsidRPr="00AC58DD">
              <w:rPr>
                <w:color w:val="000000" w:themeColor="text1"/>
                <w:sz w:val="18"/>
                <w:szCs w:val="18"/>
              </w:rPr>
              <w:t>Access to English and maths</w:t>
            </w:r>
          </w:p>
          <w:p w14:paraId="493E3E46" w14:textId="4CF45CCE" w:rsidR="00414166" w:rsidRPr="00AC58DD" w:rsidRDefault="00414166"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 xml:space="preserve">Awareness of Workforce Development funding </w:t>
            </w:r>
          </w:p>
          <w:p w14:paraId="7CCB3A19" w14:textId="7D5C3E3B" w:rsidR="00414166" w:rsidRPr="00AC58DD" w:rsidRDefault="008C4642"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 xml:space="preserve">Support the </w:t>
            </w:r>
            <w:r w:rsidR="00414166" w:rsidRPr="00AC58DD">
              <w:rPr>
                <w:color w:val="000000" w:themeColor="text1"/>
                <w:sz w:val="18"/>
                <w:szCs w:val="18"/>
              </w:rPr>
              <w:t xml:space="preserve">Up skilling to </w:t>
            </w:r>
            <w:r w:rsidRPr="00AC58DD">
              <w:rPr>
                <w:color w:val="000000" w:themeColor="text1"/>
                <w:sz w:val="18"/>
                <w:szCs w:val="18"/>
              </w:rPr>
              <w:t>facilitate the transfer</w:t>
            </w:r>
            <w:r w:rsidR="00414166" w:rsidRPr="00AC58DD">
              <w:rPr>
                <w:color w:val="000000" w:themeColor="text1"/>
                <w:sz w:val="18"/>
                <w:szCs w:val="18"/>
              </w:rPr>
              <w:t xml:space="preserve"> </w:t>
            </w:r>
            <w:r w:rsidRPr="00AC58DD">
              <w:rPr>
                <w:color w:val="000000" w:themeColor="text1"/>
                <w:sz w:val="18"/>
                <w:szCs w:val="18"/>
              </w:rPr>
              <w:t>into</w:t>
            </w:r>
            <w:r w:rsidR="00414166" w:rsidRPr="00AC58DD">
              <w:rPr>
                <w:color w:val="000000" w:themeColor="text1"/>
                <w:sz w:val="18"/>
                <w:szCs w:val="18"/>
              </w:rPr>
              <w:t xml:space="preserve"> new roles</w:t>
            </w:r>
          </w:p>
          <w:p w14:paraId="1569E7B9" w14:textId="2BC27807" w:rsidR="00EB591F" w:rsidRPr="00AC58DD" w:rsidRDefault="00411CD4"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Actively encouraging </w:t>
            </w:r>
            <w:r w:rsidR="00EB591F" w:rsidRPr="00AC58DD">
              <w:rPr>
                <w:sz w:val="18"/>
                <w:szCs w:val="18"/>
              </w:rPr>
              <w:t>Parity of Esteem</w:t>
            </w:r>
            <w:r w:rsidRPr="00AC58DD">
              <w:rPr>
                <w:sz w:val="18"/>
                <w:szCs w:val="18"/>
              </w:rPr>
              <w:t xml:space="preserve"> in roles across the H&amp;SC landscape</w:t>
            </w:r>
          </w:p>
          <w:p w14:paraId="48B2E37A" w14:textId="1DF3406D" w:rsidR="00713C6F" w:rsidRPr="00AC58DD" w:rsidRDefault="008C4642"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Create the connectivity into the Apprenticeship Workstream to develop joint strategic approach </w:t>
            </w:r>
          </w:p>
          <w:p w14:paraId="131BFA2E" w14:textId="6559AC57" w:rsidR="004549D5" w:rsidRPr="00AC58DD" w:rsidRDefault="00A120DE"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Support p</w:t>
            </w:r>
            <w:r w:rsidR="004549D5" w:rsidRPr="00AC58DD">
              <w:rPr>
                <w:sz w:val="18"/>
                <w:szCs w:val="18"/>
              </w:rPr>
              <w:t xml:space="preserve">roviders </w:t>
            </w:r>
            <w:r w:rsidRPr="00AC58DD">
              <w:rPr>
                <w:sz w:val="18"/>
                <w:szCs w:val="18"/>
              </w:rPr>
              <w:t xml:space="preserve">to develop and/or </w:t>
            </w:r>
            <w:r w:rsidR="004549D5" w:rsidRPr="00AC58DD">
              <w:rPr>
                <w:sz w:val="18"/>
                <w:szCs w:val="18"/>
              </w:rPr>
              <w:t xml:space="preserve">adapt </w:t>
            </w:r>
            <w:r w:rsidRPr="00AC58DD">
              <w:rPr>
                <w:sz w:val="18"/>
                <w:szCs w:val="18"/>
              </w:rPr>
              <w:t xml:space="preserve">Continuous Personal Development (CPD) </w:t>
            </w:r>
            <w:r w:rsidR="004549D5" w:rsidRPr="00AC58DD">
              <w:rPr>
                <w:sz w:val="18"/>
                <w:szCs w:val="18"/>
              </w:rPr>
              <w:t xml:space="preserve">delivery models </w:t>
            </w:r>
          </w:p>
          <w:p w14:paraId="104BA874" w14:textId="6F53AB3E" w:rsidR="00C2346B" w:rsidRPr="00AC58DD" w:rsidRDefault="00C2346B"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Mapping C</w:t>
            </w:r>
            <w:r w:rsidR="00313C4D" w:rsidRPr="00AC58DD">
              <w:rPr>
                <w:sz w:val="18"/>
                <w:szCs w:val="18"/>
              </w:rPr>
              <w:t xml:space="preserve">are </w:t>
            </w:r>
            <w:r w:rsidR="00843986" w:rsidRPr="00AC58DD">
              <w:rPr>
                <w:sz w:val="18"/>
                <w:szCs w:val="18"/>
              </w:rPr>
              <w:t>and</w:t>
            </w:r>
            <w:r w:rsidR="00313C4D" w:rsidRPr="00AC58DD">
              <w:rPr>
                <w:sz w:val="18"/>
                <w:szCs w:val="18"/>
              </w:rPr>
              <w:t xml:space="preserve"> </w:t>
            </w:r>
            <w:r w:rsidRPr="00AC58DD">
              <w:rPr>
                <w:sz w:val="18"/>
                <w:szCs w:val="18"/>
              </w:rPr>
              <w:t>S</w:t>
            </w:r>
            <w:r w:rsidR="00313C4D" w:rsidRPr="00AC58DD">
              <w:rPr>
                <w:sz w:val="18"/>
                <w:szCs w:val="18"/>
              </w:rPr>
              <w:t xml:space="preserve">upport </w:t>
            </w:r>
            <w:r w:rsidRPr="00AC58DD">
              <w:rPr>
                <w:sz w:val="18"/>
                <w:szCs w:val="18"/>
              </w:rPr>
              <w:t>S</w:t>
            </w:r>
            <w:r w:rsidR="00313C4D" w:rsidRPr="00AC58DD">
              <w:rPr>
                <w:sz w:val="18"/>
                <w:szCs w:val="18"/>
              </w:rPr>
              <w:t xml:space="preserve">taff </w:t>
            </w:r>
            <w:r w:rsidRPr="00AC58DD">
              <w:rPr>
                <w:sz w:val="18"/>
                <w:szCs w:val="18"/>
              </w:rPr>
              <w:t>C</w:t>
            </w:r>
            <w:r w:rsidR="00313C4D" w:rsidRPr="00AC58DD">
              <w:rPr>
                <w:sz w:val="18"/>
                <w:szCs w:val="18"/>
              </w:rPr>
              <w:t xml:space="preserve">areer </w:t>
            </w:r>
            <w:r w:rsidRPr="00AC58DD">
              <w:rPr>
                <w:sz w:val="18"/>
                <w:szCs w:val="18"/>
              </w:rPr>
              <w:t>P</w:t>
            </w:r>
            <w:r w:rsidR="00313C4D" w:rsidRPr="00AC58DD">
              <w:rPr>
                <w:sz w:val="18"/>
                <w:szCs w:val="18"/>
              </w:rPr>
              <w:t>athway</w:t>
            </w:r>
            <w:r w:rsidR="00A120DE" w:rsidRPr="00AC58DD">
              <w:rPr>
                <w:sz w:val="18"/>
                <w:szCs w:val="18"/>
              </w:rPr>
              <w:t xml:space="preserve"> to CPD plans</w:t>
            </w:r>
          </w:p>
          <w:p w14:paraId="77DD5FAF" w14:textId="08F0442E" w:rsidR="001A7DB9" w:rsidRPr="00AC58DD" w:rsidRDefault="001A7DB9"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Values Based Recruitment </w:t>
            </w:r>
          </w:p>
          <w:p w14:paraId="4D1DBC2C" w14:textId="099DF02C" w:rsidR="004549D5" w:rsidRPr="00AC58DD" w:rsidRDefault="000F60F4" w:rsidP="00D941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DBS Check – effective management in order to prevent the barriers currently experienced and preventing access</w:t>
            </w:r>
          </w:p>
        </w:tc>
        <w:tc>
          <w:tcPr>
            <w:tcW w:w="2977" w:type="dxa"/>
            <w:shd w:val="clear" w:color="auto" w:fill="FFFFFF" w:themeFill="background1"/>
            <w:vAlign w:val="center"/>
          </w:tcPr>
          <w:p w14:paraId="4F2F3681" w14:textId="17629C51" w:rsidR="00627810" w:rsidRPr="00AC58DD" w:rsidRDefault="00627810" w:rsidP="00D941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JCP Health &amp; social care job Fairs – Raising aspirations</w:t>
            </w:r>
          </w:p>
          <w:p w14:paraId="6D160436" w14:textId="52429AE6" w:rsidR="00627810" w:rsidRPr="00AC58DD" w:rsidRDefault="009C1CBE" w:rsidP="00D941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A shared, easy approach to work experience that is accessible to all, not just school students -</w:t>
            </w:r>
            <w:r w:rsidR="00B10330" w:rsidRPr="00AC58DD">
              <w:rPr>
                <w:sz w:val="18"/>
                <w:szCs w:val="18"/>
              </w:rPr>
              <w:t>P</w:t>
            </w:r>
            <w:r w:rsidR="00627810" w:rsidRPr="00AC58DD">
              <w:rPr>
                <w:sz w:val="18"/>
                <w:szCs w:val="18"/>
              </w:rPr>
              <w:t>lacements/ volunteers op</w:t>
            </w:r>
            <w:r w:rsidR="00B10330" w:rsidRPr="00AC58DD">
              <w:rPr>
                <w:sz w:val="18"/>
                <w:szCs w:val="18"/>
              </w:rPr>
              <w:t>portunities</w:t>
            </w:r>
            <w:r w:rsidR="00627810" w:rsidRPr="00AC58DD">
              <w:rPr>
                <w:sz w:val="18"/>
                <w:szCs w:val="18"/>
              </w:rPr>
              <w:t xml:space="preserve"> to </w:t>
            </w:r>
            <w:r w:rsidR="00B10330" w:rsidRPr="00AC58DD">
              <w:rPr>
                <w:sz w:val="18"/>
                <w:szCs w:val="18"/>
              </w:rPr>
              <w:t>SENs/LD/Mental Health</w:t>
            </w:r>
          </w:p>
          <w:p w14:paraId="0F1D6C10" w14:textId="3A7BA741" w:rsidR="00414166" w:rsidRPr="00AC58DD" w:rsidRDefault="008C4642" w:rsidP="00D941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 xml:space="preserve">Develop and embed a </w:t>
            </w:r>
            <w:r w:rsidR="00414166" w:rsidRPr="00AC58DD">
              <w:rPr>
                <w:color w:val="000000" w:themeColor="text1"/>
                <w:sz w:val="18"/>
                <w:szCs w:val="18"/>
              </w:rPr>
              <w:t xml:space="preserve">Central hub for accessing work experience and have all possible placements listed and </w:t>
            </w:r>
            <w:r w:rsidRPr="00AC58DD">
              <w:rPr>
                <w:color w:val="000000" w:themeColor="text1"/>
                <w:sz w:val="18"/>
                <w:szCs w:val="18"/>
              </w:rPr>
              <w:t xml:space="preserve">the access details </w:t>
            </w:r>
          </w:p>
          <w:p w14:paraId="1EE8F01E" w14:textId="5A322408" w:rsidR="009C1CBE" w:rsidRPr="00AC58DD" w:rsidRDefault="008C4642" w:rsidP="00D941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Explore and potential d</w:t>
            </w:r>
            <w:r w:rsidR="00414166" w:rsidRPr="00AC58DD">
              <w:rPr>
                <w:color w:val="000000" w:themeColor="text1"/>
                <w:sz w:val="18"/>
                <w:szCs w:val="18"/>
              </w:rPr>
              <w:t xml:space="preserve">evelop a one stop shop for all the </w:t>
            </w:r>
            <w:r w:rsidR="00AC58DD" w:rsidRPr="00AC58DD">
              <w:rPr>
                <w:color w:val="000000" w:themeColor="text1"/>
                <w:sz w:val="18"/>
                <w:szCs w:val="18"/>
              </w:rPr>
              <w:t>events -</w:t>
            </w:r>
            <w:r w:rsidR="009C1CBE" w:rsidRPr="00AC58DD">
              <w:rPr>
                <w:color w:val="FF0000"/>
                <w:sz w:val="18"/>
                <w:szCs w:val="18"/>
              </w:rPr>
              <w:t xml:space="preserve"> via central hub/site</w:t>
            </w:r>
          </w:p>
          <w:p w14:paraId="58779E75" w14:textId="2D2891A5" w:rsidR="005D46D1" w:rsidRPr="00AC58DD" w:rsidRDefault="009C1CBE" w:rsidP="00D941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C58DD">
              <w:rPr>
                <w:color w:val="000000" w:themeColor="text1"/>
                <w:sz w:val="18"/>
                <w:szCs w:val="18"/>
              </w:rPr>
              <w:t>Encourage community engagement</w:t>
            </w:r>
            <w:r w:rsidR="005D46D1" w:rsidRPr="00AC58DD">
              <w:rPr>
                <w:color w:val="000000" w:themeColor="text1"/>
                <w:sz w:val="18"/>
                <w:szCs w:val="18"/>
              </w:rPr>
              <w:t xml:space="preserve"> </w:t>
            </w:r>
            <w:r w:rsidR="00AB00FB">
              <w:rPr>
                <w:color w:val="000000" w:themeColor="text1"/>
                <w:sz w:val="18"/>
                <w:szCs w:val="18"/>
              </w:rPr>
              <w:t>across SYR</w:t>
            </w:r>
          </w:p>
          <w:p w14:paraId="08C8C0AD" w14:textId="75852D8D" w:rsidR="005D46D1" w:rsidRPr="00AC58DD" w:rsidRDefault="005D46D1" w:rsidP="00601FFB">
            <w:pPr>
              <w:pStyle w:val="ListParagraph"/>
              <w:ind w:left="43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404" w:type="dxa"/>
            <w:shd w:val="clear" w:color="auto" w:fill="FFFFFF" w:themeFill="background1"/>
            <w:vAlign w:val="center"/>
          </w:tcPr>
          <w:p w14:paraId="69A16236" w14:textId="05B13FF3" w:rsidR="00713C6F" w:rsidRPr="00AC58DD" w:rsidRDefault="00627810"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Plan &amp; </w:t>
            </w:r>
            <w:r w:rsidR="00ED044E" w:rsidRPr="00AC58DD">
              <w:rPr>
                <w:sz w:val="18"/>
                <w:szCs w:val="18"/>
              </w:rPr>
              <w:t>r</w:t>
            </w:r>
            <w:r w:rsidRPr="00AC58DD">
              <w:rPr>
                <w:sz w:val="18"/>
                <w:szCs w:val="18"/>
              </w:rPr>
              <w:t>esource a dedicated team</w:t>
            </w:r>
          </w:p>
          <w:p w14:paraId="76B04BEC" w14:textId="3B429400" w:rsidR="008C4642" w:rsidRPr="00AC58DD" w:rsidRDefault="008C4642"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Support the dedicated team with market intelligence</w:t>
            </w:r>
          </w:p>
          <w:p w14:paraId="00673E33" w14:textId="72CF74A5" w:rsidR="00627810" w:rsidRPr="00AC58DD" w:rsidRDefault="00627810"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w:t>
            </w:r>
            <w:r w:rsidR="00950202" w:rsidRPr="00AC58DD">
              <w:rPr>
                <w:sz w:val="18"/>
                <w:szCs w:val="18"/>
              </w:rPr>
              <w:t xml:space="preserve">upport and guide </w:t>
            </w:r>
            <w:r w:rsidR="00AC58DD" w:rsidRPr="00AC58DD">
              <w:rPr>
                <w:sz w:val="18"/>
                <w:szCs w:val="18"/>
              </w:rPr>
              <w:t>schools’</w:t>
            </w:r>
            <w:r w:rsidRPr="00AC58DD">
              <w:rPr>
                <w:sz w:val="18"/>
                <w:szCs w:val="18"/>
              </w:rPr>
              <w:t xml:space="preserve"> </w:t>
            </w:r>
            <w:r w:rsidR="00950202" w:rsidRPr="00AC58DD">
              <w:rPr>
                <w:sz w:val="18"/>
                <w:szCs w:val="18"/>
              </w:rPr>
              <w:t>p</w:t>
            </w:r>
            <w:r w:rsidRPr="00AC58DD">
              <w:rPr>
                <w:sz w:val="18"/>
                <w:szCs w:val="18"/>
              </w:rPr>
              <w:t>roject</w:t>
            </w:r>
            <w:r w:rsidR="008C4642" w:rsidRPr="00AC58DD">
              <w:rPr>
                <w:sz w:val="18"/>
                <w:szCs w:val="18"/>
              </w:rPr>
              <w:t>s</w:t>
            </w:r>
          </w:p>
          <w:p w14:paraId="62523FE8" w14:textId="0B1EB8DE" w:rsidR="00627810" w:rsidRPr="00AC58DD" w:rsidRDefault="00B60132"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Tackling </w:t>
            </w:r>
            <w:r w:rsidR="00627810" w:rsidRPr="00AC58DD">
              <w:rPr>
                <w:sz w:val="18"/>
                <w:szCs w:val="18"/>
              </w:rPr>
              <w:t>Stereotyp</w:t>
            </w:r>
            <w:r w:rsidRPr="00AC58DD">
              <w:rPr>
                <w:sz w:val="18"/>
                <w:szCs w:val="18"/>
              </w:rPr>
              <w:t>ing</w:t>
            </w:r>
            <w:r w:rsidR="00627810" w:rsidRPr="00AC58DD">
              <w:rPr>
                <w:sz w:val="18"/>
                <w:szCs w:val="18"/>
              </w:rPr>
              <w:t xml:space="preserve"> – Men into Nursing</w:t>
            </w:r>
            <w:r w:rsidRPr="00AC58DD">
              <w:rPr>
                <w:sz w:val="18"/>
                <w:szCs w:val="18"/>
              </w:rPr>
              <w:t>, young adults</w:t>
            </w:r>
            <w:r w:rsidR="00EB591F" w:rsidRPr="00AC58DD">
              <w:rPr>
                <w:sz w:val="18"/>
                <w:szCs w:val="18"/>
              </w:rPr>
              <w:t xml:space="preserve"> into H&amp;SC</w:t>
            </w:r>
            <w:r w:rsidR="008A11D5" w:rsidRPr="00AC58DD">
              <w:rPr>
                <w:sz w:val="18"/>
                <w:szCs w:val="18"/>
              </w:rPr>
              <w:t>, diversity and additional needs</w:t>
            </w:r>
          </w:p>
          <w:p w14:paraId="6FF06D01" w14:textId="49DC4262" w:rsidR="0032793C" w:rsidRPr="00AC58DD" w:rsidRDefault="0032793C"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Ensur</w:t>
            </w:r>
            <w:r w:rsidR="00403872" w:rsidRPr="00AC58DD">
              <w:rPr>
                <w:sz w:val="18"/>
                <w:szCs w:val="18"/>
              </w:rPr>
              <w:t xml:space="preserve">e </w:t>
            </w:r>
            <w:r w:rsidRPr="00AC58DD">
              <w:rPr>
                <w:sz w:val="18"/>
                <w:szCs w:val="18"/>
              </w:rPr>
              <w:t>representation of lower profile professional groups</w:t>
            </w:r>
          </w:p>
          <w:p w14:paraId="341B56DB" w14:textId="68931E16" w:rsidR="00950202" w:rsidRPr="00AC58DD" w:rsidRDefault="00AC58DD"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Signpost</w:t>
            </w:r>
            <w:r w:rsidR="00950202" w:rsidRPr="00AC58DD">
              <w:rPr>
                <w:sz w:val="18"/>
                <w:szCs w:val="18"/>
              </w:rPr>
              <w:t xml:space="preserve"> to entry level vacancies and apprenticeship opportunities</w:t>
            </w:r>
          </w:p>
          <w:p w14:paraId="1DADED68" w14:textId="41C414F6" w:rsidR="00BC3FD7" w:rsidRPr="00AC58DD" w:rsidRDefault="00BC3FD7"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Develop a communication strategy to increase contact with parents</w:t>
            </w:r>
          </w:p>
          <w:p w14:paraId="119FCEBE" w14:textId="4BC607C0" w:rsidR="00FF678C" w:rsidRPr="00AC58DD" w:rsidRDefault="00950202"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Develop and maintain currency of </w:t>
            </w:r>
            <w:r w:rsidR="00FF678C" w:rsidRPr="00AC58DD">
              <w:rPr>
                <w:sz w:val="18"/>
                <w:szCs w:val="18"/>
              </w:rPr>
              <w:t>Care and Support Staff Career Pathway</w:t>
            </w:r>
            <w:r w:rsidR="00BC3FD7" w:rsidRPr="00AC58DD">
              <w:rPr>
                <w:sz w:val="18"/>
                <w:szCs w:val="18"/>
              </w:rPr>
              <w:t xml:space="preserve">s </w:t>
            </w:r>
            <w:r w:rsidRPr="00AC58DD">
              <w:rPr>
                <w:sz w:val="18"/>
                <w:szCs w:val="18"/>
              </w:rPr>
              <w:t xml:space="preserve">and utilise </w:t>
            </w:r>
            <w:r w:rsidR="00BC3FD7" w:rsidRPr="00AC58DD">
              <w:rPr>
                <w:sz w:val="18"/>
                <w:szCs w:val="18"/>
              </w:rPr>
              <w:t xml:space="preserve">within </w:t>
            </w:r>
            <w:r w:rsidR="00FF678C" w:rsidRPr="00AC58DD">
              <w:rPr>
                <w:sz w:val="18"/>
                <w:szCs w:val="18"/>
              </w:rPr>
              <w:t xml:space="preserve">careers </w:t>
            </w:r>
            <w:r w:rsidRPr="00AC58DD">
              <w:rPr>
                <w:sz w:val="18"/>
                <w:szCs w:val="18"/>
              </w:rPr>
              <w:t>promotion</w:t>
            </w:r>
          </w:p>
          <w:p w14:paraId="068B804B" w14:textId="698D4243" w:rsidR="00BC3FD7" w:rsidRPr="00AC58DD" w:rsidRDefault="00BC3FD7"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Engage school nursing teams</w:t>
            </w:r>
          </w:p>
          <w:p w14:paraId="7A5513C6" w14:textId="433C6FFE" w:rsidR="00FF678C" w:rsidRPr="00AC58DD" w:rsidRDefault="00BC3FD7" w:rsidP="00D941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Support partnerships between employers and schools</w:t>
            </w:r>
            <w:r w:rsidR="00FF678C" w:rsidRPr="00AC58DD">
              <w:rPr>
                <w:sz w:val="18"/>
                <w:szCs w:val="18"/>
              </w:rPr>
              <w:t xml:space="preserve"> </w:t>
            </w:r>
          </w:p>
          <w:p w14:paraId="1894546A" w14:textId="57BDEC60" w:rsidR="00FF678C" w:rsidRPr="00A54291" w:rsidRDefault="00950202" w:rsidP="00A5429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Develop w</w:t>
            </w:r>
            <w:r w:rsidR="00F7255E" w:rsidRPr="00AC58DD">
              <w:rPr>
                <w:sz w:val="18"/>
                <w:szCs w:val="18"/>
              </w:rPr>
              <w:t>ork experience and simulation</w:t>
            </w:r>
            <w:r w:rsidRPr="00AC58DD">
              <w:rPr>
                <w:sz w:val="18"/>
                <w:szCs w:val="18"/>
              </w:rPr>
              <w:t xml:space="preserve"> opportunities</w:t>
            </w:r>
          </w:p>
        </w:tc>
        <w:tc>
          <w:tcPr>
            <w:tcW w:w="3825" w:type="dxa"/>
            <w:shd w:val="clear" w:color="auto" w:fill="FFFFFF" w:themeFill="background1"/>
            <w:vAlign w:val="center"/>
          </w:tcPr>
          <w:p w14:paraId="3B031F6A" w14:textId="266AF656" w:rsidR="00AA3F62" w:rsidRPr="00AC58DD" w:rsidRDefault="008C4642"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Widen Participation </w:t>
            </w:r>
            <w:r w:rsidR="00AA3F62" w:rsidRPr="00AC58DD">
              <w:rPr>
                <w:sz w:val="18"/>
                <w:szCs w:val="18"/>
              </w:rPr>
              <w:t xml:space="preserve">to create a </w:t>
            </w:r>
            <w:r w:rsidR="00313C4D" w:rsidRPr="00AC58DD">
              <w:rPr>
                <w:sz w:val="18"/>
                <w:szCs w:val="18"/>
              </w:rPr>
              <w:t xml:space="preserve">multi-disciplined </w:t>
            </w:r>
            <w:r w:rsidR="00EB591F" w:rsidRPr="00AC58DD">
              <w:rPr>
                <w:sz w:val="18"/>
                <w:szCs w:val="18"/>
              </w:rPr>
              <w:t>F</w:t>
            </w:r>
            <w:r w:rsidR="00AA3F62" w:rsidRPr="00AC58DD">
              <w:rPr>
                <w:sz w:val="18"/>
                <w:szCs w:val="18"/>
              </w:rPr>
              <w:t xml:space="preserve">uture </w:t>
            </w:r>
            <w:r w:rsidR="00EB591F" w:rsidRPr="00AC58DD">
              <w:rPr>
                <w:sz w:val="18"/>
                <w:szCs w:val="18"/>
              </w:rPr>
              <w:t>W</w:t>
            </w:r>
            <w:r w:rsidR="00AA3F62" w:rsidRPr="00AC58DD">
              <w:rPr>
                <w:sz w:val="18"/>
                <w:szCs w:val="18"/>
              </w:rPr>
              <w:t>orkforce</w:t>
            </w:r>
            <w:r w:rsidR="00EB591F" w:rsidRPr="00AC58DD">
              <w:rPr>
                <w:sz w:val="18"/>
                <w:szCs w:val="18"/>
              </w:rPr>
              <w:t xml:space="preserve"> Group </w:t>
            </w:r>
          </w:p>
          <w:p w14:paraId="0A097840" w14:textId="28A0C71B" w:rsidR="00AA3F62" w:rsidRPr="00AC58DD" w:rsidRDefault="00AA3F62"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Support and actively encourage the integration of the Health and Social Care Sectors</w:t>
            </w:r>
          </w:p>
          <w:p w14:paraId="2DCF8B7E" w14:textId="40686363" w:rsidR="00506417" w:rsidRPr="00AC58DD" w:rsidRDefault="008C4642"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Develop the M</w:t>
            </w:r>
            <w:r w:rsidR="00506417" w:rsidRPr="00AC58DD">
              <w:rPr>
                <w:sz w:val="18"/>
                <w:szCs w:val="18"/>
              </w:rPr>
              <w:t xml:space="preserve">aturity Index for Future Workforce Workstream – Connectivity to </w:t>
            </w:r>
            <w:r w:rsidR="00313C4D" w:rsidRPr="00AC58DD">
              <w:rPr>
                <w:sz w:val="18"/>
                <w:szCs w:val="18"/>
              </w:rPr>
              <w:t>all local, regional and national drivers</w:t>
            </w:r>
          </w:p>
          <w:p w14:paraId="78A9EDF6" w14:textId="2C21FB6A" w:rsidR="008C4642" w:rsidRDefault="008C4642" w:rsidP="00A5429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Identify funding to support the FW group </w:t>
            </w:r>
            <w:r w:rsidR="005D46D1" w:rsidRPr="00AC58DD">
              <w:rPr>
                <w:sz w:val="18"/>
                <w:szCs w:val="18"/>
              </w:rPr>
              <w:t>initiatives</w:t>
            </w:r>
            <w:r w:rsidR="00AA3F62" w:rsidRPr="00AC58DD">
              <w:rPr>
                <w:sz w:val="18"/>
                <w:szCs w:val="18"/>
              </w:rPr>
              <w:t xml:space="preserve">. </w:t>
            </w:r>
            <w:r w:rsidR="00AA3F62" w:rsidRPr="00A54291">
              <w:rPr>
                <w:sz w:val="18"/>
                <w:szCs w:val="18"/>
              </w:rPr>
              <w:t xml:space="preserve">Create </w:t>
            </w:r>
            <w:r w:rsidR="00AC528D" w:rsidRPr="00A54291">
              <w:rPr>
                <w:sz w:val="18"/>
                <w:szCs w:val="18"/>
              </w:rPr>
              <w:t>the funding</w:t>
            </w:r>
            <w:r w:rsidR="00AA3F62" w:rsidRPr="00A54291">
              <w:rPr>
                <w:sz w:val="18"/>
                <w:szCs w:val="18"/>
              </w:rPr>
              <w:t xml:space="preserve"> calendar/activate bid writing within streams</w:t>
            </w:r>
          </w:p>
          <w:p w14:paraId="2EB6D17F" w14:textId="1F2B8C1E" w:rsidR="00A54291" w:rsidRPr="00A54291" w:rsidRDefault="00A54291" w:rsidP="00A5429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Support and document a ‘Collective Calendar of Events’ across </w:t>
            </w:r>
            <w:r w:rsidR="00FE05BD">
              <w:rPr>
                <w:sz w:val="18"/>
                <w:szCs w:val="18"/>
              </w:rPr>
              <w:t xml:space="preserve">all </w:t>
            </w:r>
            <w:r>
              <w:rPr>
                <w:sz w:val="18"/>
                <w:szCs w:val="18"/>
              </w:rPr>
              <w:t>workstreams</w:t>
            </w:r>
          </w:p>
          <w:p w14:paraId="6A2E5FC8" w14:textId="101D60F6" w:rsidR="00A54291" w:rsidRDefault="00AC58DD"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54291">
              <w:rPr>
                <w:sz w:val="18"/>
                <w:szCs w:val="18"/>
              </w:rPr>
              <w:t xml:space="preserve">Development of the Unpaid Carer Strategy </w:t>
            </w:r>
          </w:p>
          <w:p w14:paraId="521D8705" w14:textId="12660AE8" w:rsidR="00A54291" w:rsidRDefault="00A54291"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Develop and support an Ambassador Base of H&amp;SC persons to support workstreams</w:t>
            </w:r>
          </w:p>
          <w:p w14:paraId="037C2C4B" w14:textId="0473D13A" w:rsidR="004F1A08" w:rsidRPr="00A54291" w:rsidRDefault="00313C4D"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54291">
              <w:rPr>
                <w:sz w:val="18"/>
                <w:szCs w:val="18"/>
              </w:rPr>
              <w:t xml:space="preserve">Mapping Care </w:t>
            </w:r>
            <w:r w:rsidR="00E972BC" w:rsidRPr="00A54291">
              <w:rPr>
                <w:sz w:val="18"/>
                <w:szCs w:val="18"/>
              </w:rPr>
              <w:t>a</w:t>
            </w:r>
            <w:r w:rsidRPr="00A54291">
              <w:rPr>
                <w:sz w:val="18"/>
                <w:szCs w:val="18"/>
              </w:rPr>
              <w:t>nd Support Staff Career Pathway</w:t>
            </w:r>
          </w:p>
          <w:p w14:paraId="6B72F470" w14:textId="6F0D75BD" w:rsidR="00601FFB" w:rsidRPr="00AC58DD" w:rsidRDefault="004F1A08" w:rsidP="00D941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AC58DD">
              <w:rPr>
                <w:sz w:val="18"/>
                <w:szCs w:val="18"/>
              </w:rPr>
              <w:t xml:space="preserve">Outcomes update to the SYREC/LWAB/ICS </w:t>
            </w:r>
            <w:r w:rsidR="00A54291">
              <w:rPr>
                <w:sz w:val="18"/>
                <w:szCs w:val="18"/>
              </w:rPr>
              <w:t xml:space="preserve">via relevant documentation </w:t>
            </w:r>
          </w:p>
          <w:p w14:paraId="6EAF06E7" w14:textId="26AC08DF" w:rsidR="004F1A08" w:rsidRDefault="004F1A08" w:rsidP="00601FFB">
            <w:pPr>
              <w:pStyle w:val="ListParagraph"/>
              <w:ind w:left="430"/>
              <w:cnfStyle w:val="000000000000" w:firstRow="0" w:lastRow="0" w:firstColumn="0" w:lastColumn="0" w:oddVBand="0" w:evenVBand="0" w:oddHBand="0" w:evenHBand="0" w:firstRowFirstColumn="0" w:firstRowLastColumn="0" w:lastRowFirstColumn="0" w:lastRowLastColumn="0"/>
            </w:pPr>
          </w:p>
          <w:p w14:paraId="0D771664" w14:textId="048B908C" w:rsidR="00506417" w:rsidRDefault="004F1A08" w:rsidP="003B28A4">
            <w:pPr>
              <w:pStyle w:val="ListParagraph"/>
              <w:cnfStyle w:val="000000000000" w:firstRow="0" w:lastRow="0" w:firstColumn="0" w:lastColumn="0" w:oddVBand="0" w:evenVBand="0" w:oddHBand="0" w:evenHBand="0" w:firstRowFirstColumn="0" w:firstRowLastColumn="0" w:lastRowFirstColumn="0" w:lastRowLastColumn="0"/>
            </w:pPr>
            <w:r>
              <w:t xml:space="preserve">  </w:t>
            </w:r>
          </w:p>
        </w:tc>
      </w:tr>
      <w:tr w:rsidR="00404854" w14:paraId="32D81189" w14:textId="77777777" w:rsidTr="007D4A37">
        <w:trPr>
          <w:cnfStyle w:val="000000100000" w:firstRow="0" w:lastRow="0" w:firstColumn="0" w:lastColumn="0" w:oddVBand="0" w:evenVBand="0" w:oddHBand="1" w:evenHBand="0" w:firstRowFirstColumn="0" w:firstRowLastColumn="0" w:lastRowFirstColumn="0" w:lastRowLastColumn="0"/>
          <w:trHeight w:val="1876"/>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2AAED1B9" w14:textId="59BC2D2A" w:rsidR="00404854" w:rsidRPr="00D941EB" w:rsidRDefault="00C852E0" w:rsidP="00713C6F">
            <w:pPr>
              <w:rPr>
                <w:b w:val="0"/>
                <w:bCs w:val="0"/>
                <w:color w:val="auto"/>
                <w:sz w:val="32"/>
                <w:szCs w:val="32"/>
              </w:rPr>
            </w:pPr>
            <w:r w:rsidRPr="00D941EB">
              <w:rPr>
                <w:b w:val="0"/>
                <w:bCs w:val="0"/>
                <w:sz w:val="32"/>
                <w:szCs w:val="32"/>
              </w:rPr>
              <w:lastRenderedPageBreak/>
              <w:t>PLANNED JOINT ACTIVITIES</w:t>
            </w:r>
          </w:p>
        </w:tc>
        <w:tc>
          <w:tcPr>
            <w:tcW w:w="13528" w:type="dxa"/>
            <w:gridSpan w:val="4"/>
            <w:shd w:val="clear" w:color="auto" w:fill="FFFFFF" w:themeFill="background1"/>
            <w:vAlign w:val="center"/>
          </w:tcPr>
          <w:p w14:paraId="341B4428" w14:textId="570A6415" w:rsidR="00C852E0" w:rsidRPr="00D941EB"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D941EB">
              <w:rPr>
                <w:b/>
                <w:bCs/>
                <w:sz w:val="20"/>
                <w:szCs w:val="20"/>
              </w:rPr>
              <w:t>Develop social media connectivity with pupils and communities</w:t>
            </w:r>
          </w:p>
          <w:p w14:paraId="15127419" w14:textId="77777777" w:rsidR="00C852E0" w:rsidRPr="00C852E0"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C852E0">
              <w:rPr>
                <w:b/>
                <w:bCs/>
                <w:sz w:val="20"/>
                <w:szCs w:val="20"/>
              </w:rPr>
              <w:t>Provide a single point of contact website for careers and job information</w:t>
            </w:r>
          </w:p>
          <w:p w14:paraId="7FFC9415" w14:textId="77777777" w:rsidR="00C852E0" w:rsidRPr="00C852E0"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C852E0">
              <w:rPr>
                <w:b/>
                <w:bCs/>
                <w:sz w:val="20"/>
                <w:szCs w:val="20"/>
              </w:rPr>
              <w:t>Replicate We Care into the Future events per place</w:t>
            </w:r>
          </w:p>
          <w:p w14:paraId="17C9E1E4" w14:textId="77777777" w:rsidR="00C852E0" w:rsidRPr="00C852E0"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C852E0">
              <w:rPr>
                <w:b/>
                <w:bCs/>
                <w:sz w:val="20"/>
                <w:szCs w:val="20"/>
              </w:rPr>
              <w:t>Provide CPD sessions for teachers, JCP advisors and other careers professionals re roles and routes into sector</w:t>
            </w:r>
          </w:p>
          <w:p w14:paraId="36EBAFD6" w14:textId="74F64B82" w:rsidR="00C852E0" w:rsidRPr="00D941EB"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C852E0">
              <w:rPr>
                <w:b/>
                <w:bCs/>
                <w:sz w:val="20"/>
                <w:szCs w:val="20"/>
              </w:rPr>
              <w:t>Populate and share an events calendar for CPD and careers events</w:t>
            </w:r>
          </w:p>
          <w:p w14:paraId="27BBB88F" w14:textId="3409F97A" w:rsidR="00C852E0" w:rsidRPr="00C852E0" w:rsidRDefault="00C852E0" w:rsidP="00C852E0">
            <w:pPr>
              <w:numPr>
                <w:ilvl w:val="0"/>
                <w:numId w:val="12"/>
              </w:numPr>
              <w:cnfStyle w:val="000000100000" w:firstRow="0" w:lastRow="0" w:firstColumn="0" w:lastColumn="0" w:oddVBand="0" w:evenVBand="0" w:oddHBand="1" w:evenHBand="0" w:firstRowFirstColumn="0" w:firstRowLastColumn="0" w:lastRowFirstColumn="0" w:lastRowLastColumn="0"/>
              <w:rPr>
                <w:b/>
                <w:bCs/>
                <w:sz w:val="20"/>
                <w:szCs w:val="20"/>
              </w:rPr>
            </w:pPr>
            <w:r w:rsidRPr="00D941EB">
              <w:rPr>
                <w:b/>
                <w:bCs/>
                <w:sz w:val="20"/>
                <w:szCs w:val="20"/>
              </w:rPr>
              <w:t>Develop a base of Health and Social Care Career Ambassadors</w:t>
            </w:r>
          </w:p>
          <w:p w14:paraId="30FE9CF4" w14:textId="2140CE77" w:rsidR="00404854" w:rsidRPr="00D941EB" w:rsidRDefault="00404854" w:rsidP="00C852E0">
            <w:pPr>
              <w:cnfStyle w:val="000000100000" w:firstRow="0" w:lastRow="0" w:firstColumn="0" w:lastColumn="0" w:oddVBand="0" w:evenVBand="0" w:oddHBand="1" w:evenHBand="0" w:firstRowFirstColumn="0" w:firstRowLastColumn="0" w:lastRowFirstColumn="0" w:lastRowLastColumn="0"/>
            </w:pPr>
          </w:p>
        </w:tc>
      </w:tr>
      <w:tr w:rsidR="00C852E0" w14:paraId="2859EFF4" w14:textId="77777777" w:rsidTr="007D4A37">
        <w:trPr>
          <w:trHeight w:val="1876"/>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064E8AB0" w14:textId="0A4A6ADC" w:rsidR="00C852E0" w:rsidRPr="00F560CB" w:rsidRDefault="00C852E0" w:rsidP="00713C6F">
            <w:pPr>
              <w:rPr>
                <w:sz w:val="32"/>
                <w:szCs w:val="32"/>
              </w:rPr>
            </w:pPr>
            <w:r w:rsidRPr="00C852E0">
              <w:rPr>
                <w:sz w:val="32"/>
                <w:szCs w:val="32"/>
              </w:rPr>
              <w:t>Potential Funding Streams</w:t>
            </w:r>
          </w:p>
        </w:tc>
        <w:tc>
          <w:tcPr>
            <w:tcW w:w="13528" w:type="dxa"/>
            <w:gridSpan w:val="4"/>
            <w:shd w:val="clear" w:color="auto" w:fill="2F5496" w:themeFill="accent1" w:themeFillShade="BF"/>
            <w:vAlign w:val="center"/>
          </w:tcPr>
          <w:p w14:paraId="59E60836" w14:textId="5600D376" w:rsidR="00C852E0" w:rsidRPr="00C852E0" w:rsidRDefault="00C852E0" w:rsidP="00C852E0">
            <w:pPr>
              <w:cnfStyle w:val="000000000000" w:firstRow="0" w:lastRow="0" w:firstColumn="0" w:lastColumn="0" w:oddVBand="0" w:evenVBand="0" w:oddHBand="0" w:evenHBand="0" w:firstRowFirstColumn="0" w:firstRowLastColumn="0" w:lastRowFirstColumn="0" w:lastRowLastColumn="0"/>
              <w:rPr>
                <w:b/>
                <w:bCs/>
                <w:color w:val="FFFFFF" w:themeColor="background1"/>
                <w:sz w:val="28"/>
                <w:szCs w:val="28"/>
              </w:rPr>
            </w:pPr>
            <w:r w:rsidRPr="00C852E0">
              <w:rPr>
                <w:b/>
                <w:bCs/>
                <w:color w:val="FFFFFF" w:themeColor="background1"/>
                <w:sz w:val="28"/>
                <w:szCs w:val="28"/>
              </w:rPr>
              <w:t>Workforce Innovation Fund/Carers Innovation Fund/HEE</w:t>
            </w:r>
            <w:r w:rsidR="00D941EB">
              <w:rPr>
                <w:b/>
                <w:bCs/>
                <w:color w:val="FFFFFF" w:themeColor="background1"/>
                <w:sz w:val="28"/>
                <w:szCs w:val="28"/>
              </w:rPr>
              <w:t>/</w:t>
            </w:r>
            <w:r w:rsidRPr="00C852E0">
              <w:rPr>
                <w:b/>
                <w:bCs/>
                <w:color w:val="FFFFFF" w:themeColor="background1"/>
                <w:sz w:val="28"/>
                <w:szCs w:val="28"/>
              </w:rPr>
              <w:t xml:space="preserve">Public Health </w:t>
            </w:r>
          </w:p>
          <w:p w14:paraId="68D5D52F" w14:textId="77777777" w:rsidR="00C852E0" w:rsidRPr="00C852E0" w:rsidRDefault="00C852E0" w:rsidP="00C852E0">
            <w:pPr>
              <w:cnfStyle w:val="000000000000" w:firstRow="0" w:lastRow="0" w:firstColumn="0" w:lastColumn="0" w:oddVBand="0" w:evenVBand="0" w:oddHBand="0" w:evenHBand="0" w:firstRowFirstColumn="0" w:firstRowLastColumn="0" w:lastRowFirstColumn="0" w:lastRowLastColumn="0"/>
              <w:rPr>
                <w:b/>
                <w:bCs/>
                <w:color w:val="FFFFFF" w:themeColor="background1"/>
                <w:sz w:val="28"/>
                <w:szCs w:val="28"/>
              </w:rPr>
            </w:pPr>
            <w:r w:rsidRPr="00C852E0">
              <w:rPr>
                <w:b/>
                <w:bCs/>
                <w:color w:val="FFFFFF" w:themeColor="background1"/>
                <w:sz w:val="28"/>
                <w:szCs w:val="28"/>
              </w:rPr>
              <w:t>Better Care Fund</w:t>
            </w:r>
          </w:p>
          <w:p w14:paraId="6E60568B" w14:textId="77777777" w:rsidR="00C852E0" w:rsidRPr="00C852E0" w:rsidRDefault="00C852E0" w:rsidP="00C852E0">
            <w:pPr>
              <w:cnfStyle w:val="000000000000" w:firstRow="0" w:lastRow="0" w:firstColumn="0" w:lastColumn="0" w:oddVBand="0" w:evenVBand="0" w:oddHBand="0" w:evenHBand="0" w:firstRowFirstColumn="0" w:firstRowLastColumn="0" w:lastRowFirstColumn="0" w:lastRowLastColumn="0"/>
              <w:rPr>
                <w:b/>
                <w:bCs/>
                <w:color w:val="FFFFFF" w:themeColor="background1"/>
                <w:sz w:val="28"/>
                <w:szCs w:val="28"/>
              </w:rPr>
            </w:pPr>
            <w:r w:rsidRPr="00C852E0">
              <w:rPr>
                <w:b/>
                <w:bCs/>
                <w:color w:val="FFFFFF" w:themeColor="background1"/>
                <w:sz w:val="28"/>
                <w:szCs w:val="28"/>
              </w:rPr>
              <w:t>Local Independent Businesses</w:t>
            </w:r>
          </w:p>
          <w:p w14:paraId="0E2B25E8" w14:textId="00E516F9" w:rsidR="00C852E0" w:rsidRPr="00095C05" w:rsidRDefault="00C852E0" w:rsidP="00C852E0">
            <w:pPr>
              <w:cnfStyle w:val="000000000000" w:firstRow="0" w:lastRow="0" w:firstColumn="0" w:lastColumn="0" w:oddVBand="0" w:evenVBand="0" w:oddHBand="0" w:evenHBand="0" w:firstRowFirstColumn="0" w:firstRowLastColumn="0" w:lastRowFirstColumn="0" w:lastRowLastColumn="0"/>
              <w:rPr>
                <w:b/>
                <w:bCs/>
                <w:color w:val="FFFFFF" w:themeColor="background1"/>
                <w:sz w:val="28"/>
                <w:szCs w:val="28"/>
              </w:rPr>
            </w:pPr>
            <w:r w:rsidRPr="00095C05">
              <w:rPr>
                <w:b/>
                <w:bCs/>
                <w:color w:val="FFFFFF" w:themeColor="background1"/>
                <w:sz w:val="28"/>
                <w:szCs w:val="28"/>
              </w:rPr>
              <w:t>Private Industry</w:t>
            </w:r>
          </w:p>
        </w:tc>
      </w:tr>
      <w:tr w:rsidR="00FA5749" w14:paraId="7693E3AE" w14:textId="77777777" w:rsidTr="001B4F9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877" w:type="dxa"/>
            <w:gridSpan w:val="5"/>
            <w:shd w:val="clear" w:color="auto" w:fill="2F5496" w:themeFill="accent1" w:themeFillShade="BF"/>
            <w:vAlign w:val="center"/>
          </w:tcPr>
          <w:p w14:paraId="102F0307" w14:textId="166DFAEE" w:rsidR="00FA5749" w:rsidRDefault="00FA5749" w:rsidP="00713C6F">
            <w:r>
              <w:t>LOCAL, REGIO</w:t>
            </w:r>
            <w:r w:rsidR="00355BE6">
              <w:t>NA</w:t>
            </w:r>
            <w:r>
              <w:t xml:space="preserve">L AND NATIONAL </w:t>
            </w:r>
            <w:r w:rsidR="00355BE6">
              <w:t>DRIVERS</w:t>
            </w:r>
          </w:p>
        </w:tc>
      </w:tr>
      <w:tr w:rsidR="00713C6F" w14:paraId="521113A4" w14:textId="77777777" w:rsidTr="007D4A37">
        <w:trPr>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405D9F20" w14:textId="5CCCE1E5" w:rsidR="00713C6F" w:rsidRPr="00B1201C" w:rsidRDefault="00713C6F" w:rsidP="00713C6F">
            <w:pPr>
              <w:rPr>
                <w:sz w:val="32"/>
                <w:szCs w:val="32"/>
              </w:rPr>
            </w:pPr>
            <w:r w:rsidRPr="00B1201C">
              <w:rPr>
                <w:sz w:val="32"/>
                <w:szCs w:val="32"/>
              </w:rPr>
              <w:t>I</w:t>
            </w:r>
            <w:r>
              <w:rPr>
                <w:sz w:val="32"/>
                <w:szCs w:val="32"/>
              </w:rPr>
              <w:t xml:space="preserve">ntegrated </w:t>
            </w:r>
            <w:r w:rsidRPr="00B1201C">
              <w:rPr>
                <w:sz w:val="32"/>
                <w:szCs w:val="32"/>
              </w:rPr>
              <w:t>C</w:t>
            </w:r>
            <w:r>
              <w:rPr>
                <w:sz w:val="32"/>
                <w:szCs w:val="32"/>
              </w:rPr>
              <w:t xml:space="preserve">are </w:t>
            </w:r>
            <w:r w:rsidRPr="00B1201C">
              <w:rPr>
                <w:sz w:val="32"/>
                <w:szCs w:val="32"/>
              </w:rPr>
              <w:t>S</w:t>
            </w:r>
            <w:r>
              <w:rPr>
                <w:sz w:val="32"/>
                <w:szCs w:val="32"/>
              </w:rPr>
              <w:t>ystem</w:t>
            </w:r>
          </w:p>
        </w:tc>
        <w:tc>
          <w:tcPr>
            <w:tcW w:w="13528" w:type="dxa"/>
            <w:gridSpan w:val="4"/>
            <w:shd w:val="clear" w:color="auto" w:fill="FFFFFF" w:themeFill="background1"/>
            <w:vAlign w:val="center"/>
          </w:tcPr>
          <w:p w14:paraId="12637650" w14:textId="77777777"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Education Training and Development</w:t>
            </w:r>
          </w:p>
          <w:p w14:paraId="16D2F577" w14:textId="77777777"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New Roles</w:t>
            </w:r>
          </w:p>
          <w:p w14:paraId="48AD1F90" w14:textId="77777777"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Workforce Planning and Intelligence</w:t>
            </w:r>
          </w:p>
          <w:p w14:paraId="334CACF6" w14:textId="77777777"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Supply</w:t>
            </w:r>
          </w:p>
          <w:p w14:paraId="6528EC0B" w14:textId="77777777"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Mature Partnership Working</w:t>
            </w:r>
          </w:p>
          <w:p w14:paraId="7331A197" w14:textId="43A3CBB3" w:rsidR="00713C6F" w:rsidRDefault="00713C6F" w:rsidP="00713C6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Good Employment Practice</w:t>
            </w:r>
          </w:p>
        </w:tc>
      </w:tr>
      <w:tr w:rsidR="00713C6F" w14:paraId="1CD8E62E" w14:textId="77777777" w:rsidTr="007D4A3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7469E3D7" w14:textId="1A31C344" w:rsidR="00713C6F" w:rsidRPr="00B1201C" w:rsidRDefault="00713C6F" w:rsidP="00713C6F">
            <w:pPr>
              <w:rPr>
                <w:sz w:val="32"/>
                <w:szCs w:val="32"/>
              </w:rPr>
            </w:pPr>
            <w:r w:rsidRPr="00B1201C">
              <w:rPr>
                <w:sz w:val="32"/>
                <w:szCs w:val="32"/>
              </w:rPr>
              <w:t>L</w:t>
            </w:r>
            <w:r>
              <w:rPr>
                <w:sz w:val="32"/>
                <w:szCs w:val="32"/>
              </w:rPr>
              <w:t xml:space="preserve">ocal </w:t>
            </w:r>
            <w:r w:rsidRPr="00B1201C">
              <w:rPr>
                <w:sz w:val="32"/>
                <w:szCs w:val="32"/>
              </w:rPr>
              <w:t>W</w:t>
            </w:r>
            <w:r>
              <w:rPr>
                <w:sz w:val="32"/>
                <w:szCs w:val="32"/>
              </w:rPr>
              <w:t xml:space="preserve">orkforce </w:t>
            </w:r>
            <w:r w:rsidRPr="00B1201C">
              <w:rPr>
                <w:sz w:val="32"/>
                <w:szCs w:val="32"/>
              </w:rPr>
              <w:t>A</w:t>
            </w:r>
            <w:r>
              <w:rPr>
                <w:sz w:val="32"/>
                <w:szCs w:val="32"/>
              </w:rPr>
              <w:t xml:space="preserve">ction </w:t>
            </w:r>
            <w:r w:rsidRPr="00B1201C">
              <w:rPr>
                <w:sz w:val="32"/>
                <w:szCs w:val="32"/>
              </w:rPr>
              <w:t>B</w:t>
            </w:r>
            <w:r>
              <w:rPr>
                <w:sz w:val="32"/>
                <w:szCs w:val="32"/>
              </w:rPr>
              <w:t>oard</w:t>
            </w:r>
          </w:p>
        </w:tc>
        <w:tc>
          <w:tcPr>
            <w:tcW w:w="13528" w:type="dxa"/>
            <w:gridSpan w:val="4"/>
            <w:shd w:val="clear" w:color="auto" w:fill="FFFFFF" w:themeFill="background1"/>
            <w:vAlign w:val="center"/>
          </w:tcPr>
          <w:p w14:paraId="4EEAF524" w14:textId="77777777" w:rsidR="00713C6F" w:rsidRPr="007B7DED" w:rsidRDefault="00713C6F" w:rsidP="00713C6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B7DED">
              <w:rPr>
                <w:rFonts w:ascii="Calibri" w:hAnsi="Calibri" w:cs="Calibri"/>
                <w:bCs/>
              </w:rPr>
              <w:t>Enabling and Aligning Effective Workforce Planning across Organisations, ACPs and ACS</w:t>
            </w:r>
          </w:p>
          <w:p w14:paraId="26CB5220" w14:textId="77777777" w:rsidR="00713C6F" w:rsidRPr="007B7DED" w:rsidRDefault="00713C6F" w:rsidP="00713C6F">
            <w:pPr>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B7DED">
              <w:rPr>
                <w:rFonts w:ascii="Calibri" w:hAnsi="Calibri" w:cs="Calibri"/>
                <w:bCs/>
              </w:rPr>
              <w:t>Developing the Current SYB Workforce and Workplace</w:t>
            </w:r>
          </w:p>
          <w:p w14:paraId="2A51BD53" w14:textId="611A6C9D" w:rsidR="00713C6F" w:rsidRDefault="00713C6F" w:rsidP="00713C6F">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7B7DED">
              <w:rPr>
                <w:rFonts w:ascii="Calibri" w:hAnsi="Calibri" w:cs="Calibri"/>
                <w:bCs/>
              </w:rPr>
              <w:t>Increasing Future Supply</w:t>
            </w:r>
          </w:p>
        </w:tc>
      </w:tr>
      <w:tr w:rsidR="00713C6F" w14:paraId="318AC8A4" w14:textId="77777777" w:rsidTr="007D4A37">
        <w:trPr>
          <w:trHeight w:val="1145"/>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4803420F" w14:textId="3AAC3760" w:rsidR="00713C6F" w:rsidRPr="00B1201C" w:rsidRDefault="00713C6F" w:rsidP="00713C6F">
            <w:pPr>
              <w:rPr>
                <w:sz w:val="32"/>
                <w:szCs w:val="32"/>
              </w:rPr>
            </w:pPr>
            <w:r w:rsidRPr="00B1201C">
              <w:rPr>
                <w:sz w:val="32"/>
                <w:szCs w:val="32"/>
              </w:rPr>
              <w:t>S</w:t>
            </w:r>
            <w:r>
              <w:rPr>
                <w:sz w:val="32"/>
                <w:szCs w:val="32"/>
              </w:rPr>
              <w:t xml:space="preserve">outh </w:t>
            </w:r>
            <w:r w:rsidRPr="00B1201C">
              <w:rPr>
                <w:sz w:val="32"/>
                <w:szCs w:val="32"/>
              </w:rPr>
              <w:t>Y</w:t>
            </w:r>
            <w:r>
              <w:rPr>
                <w:sz w:val="32"/>
                <w:szCs w:val="32"/>
              </w:rPr>
              <w:t xml:space="preserve">orkshire </w:t>
            </w:r>
            <w:r w:rsidRPr="00B1201C">
              <w:rPr>
                <w:sz w:val="32"/>
                <w:szCs w:val="32"/>
              </w:rPr>
              <w:t>R</w:t>
            </w:r>
            <w:r>
              <w:rPr>
                <w:sz w:val="32"/>
                <w:szCs w:val="32"/>
              </w:rPr>
              <w:t xml:space="preserve">egional </w:t>
            </w:r>
            <w:r w:rsidRPr="00B1201C">
              <w:rPr>
                <w:sz w:val="32"/>
                <w:szCs w:val="32"/>
              </w:rPr>
              <w:t>E</w:t>
            </w:r>
            <w:r>
              <w:rPr>
                <w:sz w:val="32"/>
                <w:szCs w:val="32"/>
              </w:rPr>
              <w:t xml:space="preserve">xcellence </w:t>
            </w:r>
            <w:r w:rsidRPr="00B1201C">
              <w:rPr>
                <w:sz w:val="32"/>
                <w:szCs w:val="32"/>
              </w:rPr>
              <w:t>C</w:t>
            </w:r>
            <w:r>
              <w:rPr>
                <w:sz w:val="32"/>
                <w:szCs w:val="32"/>
              </w:rPr>
              <w:t>entre</w:t>
            </w:r>
          </w:p>
        </w:tc>
        <w:tc>
          <w:tcPr>
            <w:tcW w:w="13528" w:type="dxa"/>
            <w:gridSpan w:val="4"/>
            <w:shd w:val="clear" w:color="auto" w:fill="FFFFFF" w:themeFill="background1"/>
            <w:vAlign w:val="center"/>
          </w:tcPr>
          <w:p w14:paraId="27732D77" w14:textId="7777777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To facilitate joint working across the health and social care sector by encouraging development and sharing together</w:t>
            </w:r>
          </w:p>
          <w:p w14:paraId="08A3E42F" w14:textId="7777777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Desired outcomes are for a complete South Yorkshire and Bassetlaw profile</w:t>
            </w:r>
          </w:p>
          <w:p w14:paraId="12758A29" w14:textId="180C4EC4"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Understanding and collation of the current/historic widening participation activity in Y&amp;H</w:t>
            </w:r>
          </w:p>
          <w:p w14:paraId="42420B61" w14:textId="7FE16BF5"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Organisational agreement of what works well with recommendations</w:t>
            </w:r>
          </w:p>
          <w:p w14:paraId="7ABB62D3" w14:textId="43DF7BAC"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Potential red, amber and green (RAG) rating of the options</w:t>
            </w:r>
          </w:p>
          <w:p w14:paraId="01CB29A6" w14:textId="66477D29"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 xml:space="preserve">Increase the numbers of schools engaging with SYREC through events and partnership    working </w:t>
            </w:r>
          </w:p>
          <w:p w14:paraId="6A09757B" w14:textId="0254F9A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Increase the numbers of future workforce events</w:t>
            </w:r>
          </w:p>
          <w:p w14:paraId="07ECE806" w14:textId="7777777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Development of a CASS Career Pathway Framework</w:t>
            </w:r>
          </w:p>
          <w:p w14:paraId="268DEDB9" w14:textId="7777777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 xml:space="preserve">Develop wider educational participation across the SY&amp; Bassetlaw footprint, schools, colleges and universities </w:t>
            </w:r>
          </w:p>
          <w:p w14:paraId="2DE586E2" w14:textId="7A29C9AA"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Engage focus groups to identify appropriate skills and development needs of a future health and social care workforce</w:t>
            </w:r>
          </w:p>
          <w:p w14:paraId="59745A2D" w14:textId="77777777" w:rsidR="00713C6F" w:rsidRPr="00C125B0"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 xml:space="preserve">To engage with all workstreams leads to ensure future workforce is a key thread </w:t>
            </w:r>
          </w:p>
          <w:p w14:paraId="6711437A" w14:textId="77777777" w:rsidR="00DC0D8E" w:rsidRDefault="00713C6F" w:rsidP="0061327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C125B0">
              <w:t>To engage the support and action needed by LWAB/ICS to remove barriers preventing progress</w:t>
            </w:r>
          </w:p>
          <w:p w14:paraId="5FB45486" w14:textId="751374C5" w:rsidR="00713C6F" w:rsidRPr="00C125B0" w:rsidRDefault="00DC0D8E" w:rsidP="00DC0D8E">
            <w:pPr>
              <w:pStyle w:val="ListParagraph"/>
              <w:jc w:val="both"/>
              <w:cnfStyle w:val="000000000000" w:firstRow="0" w:lastRow="0" w:firstColumn="0" w:lastColumn="0" w:oddVBand="0" w:evenVBand="0" w:oddHBand="0" w:evenHBand="0" w:firstRowFirstColumn="0" w:firstRowLastColumn="0" w:lastRowFirstColumn="0" w:lastRowLastColumn="0"/>
            </w:pPr>
            <w:r>
              <w:t>(SYREC Strategy 2018-2019)</w:t>
            </w:r>
            <w:r w:rsidR="00713C6F" w:rsidRPr="00C125B0">
              <w:t xml:space="preserve"> </w:t>
            </w:r>
          </w:p>
          <w:p w14:paraId="2EFCC127" w14:textId="77777777" w:rsidR="00713C6F" w:rsidRDefault="00713C6F" w:rsidP="00713C6F">
            <w:pPr>
              <w:cnfStyle w:val="000000000000" w:firstRow="0" w:lastRow="0" w:firstColumn="0" w:lastColumn="0" w:oddVBand="0" w:evenVBand="0" w:oddHBand="0" w:evenHBand="0" w:firstRowFirstColumn="0" w:firstRowLastColumn="0" w:lastRowFirstColumn="0" w:lastRowLastColumn="0"/>
            </w:pPr>
          </w:p>
        </w:tc>
      </w:tr>
      <w:tr w:rsidR="00713C6F" w14:paraId="10B91251" w14:textId="77777777" w:rsidTr="007D4A3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343FFC64" w14:textId="5373D443" w:rsidR="00713C6F" w:rsidRPr="00B1201C" w:rsidRDefault="00713C6F" w:rsidP="00713C6F">
            <w:pPr>
              <w:rPr>
                <w:sz w:val="32"/>
                <w:szCs w:val="32"/>
              </w:rPr>
            </w:pPr>
            <w:r>
              <w:rPr>
                <w:sz w:val="32"/>
                <w:szCs w:val="32"/>
              </w:rPr>
              <w:t>Regi</w:t>
            </w:r>
            <w:r w:rsidR="00307D44">
              <w:rPr>
                <w:sz w:val="32"/>
                <w:szCs w:val="32"/>
              </w:rPr>
              <w:t xml:space="preserve">onal </w:t>
            </w:r>
            <w:r w:rsidRPr="00B1201C">
              <w:rPr>
                <w:sz w:val="32"/>
                <w:szCs w:val="32"/>
              </w:rPr>
              <w:t>Local</w:t>
            </w:r>
            <w:r>
              <w:rPr>
                <w:sz w:val="32"/>
                <w:szCs w:val="32"/>
              </w:rPr>
              <w:t xml:space="preserve"> Authorities</w:t>
            </w:r>
          </w:p>
        </w:tc>
        <w:tc>
          <w:tcPr>
            <w:tcW w:w="13528" w:type="dxa"/>
            <w:gridSpan w:val="4"/>
            <w:shd w:val="clear" w:color="auto" w:fill="FFFFFF" w:themeFill="background1"/>
            <w:vAlign w:val="center"/>
          </w:tcPr>
          <w:p w14:paraId="526B5649" w14:textId="737F29A9" w:rsidR="00713C6F" w:rsidRDefault="00525025" w:rsidP="006132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BARNSLEY -</w:t>
            </w:r>
          </w:p>
          <w:p w14:paraId="1A1E3B9B" w14:textId="4C6A7AC3" w:rsidR="00525025" w:rsidRDefault="00525025" w:rsidP="006132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ROTHERHAM -</w:t>
            </w:r>
          </w:p>
          <w:p w14:paraId="5343C1D7" w14:textId="56D316A6" w:rsidR="00525025" w:rsidRDefault="00525025" w:rsidP="006132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DONCASTER -</w:t>
            </w:r>
            <w:r w:rsidR="00890422">
              <w:t xml:space="preserve"> </w:t>
            </w:r>
            <w:r w:rsidR="00890422" w:rsidRPr="00890422">
              <w:sym w:font="Symbol" w:char="F0B7"/>
            </w:r>
            <w:r w:rsidR="00890422" w:rsidRPr="00890422">
              <w:t xml:space="preserve"> A strong local economy, progressive, healthy, safe and vibrant communities. </w:t>
            </w:r>
            <w:r w:rsidR="00890422" w:rsidRPr="00890422">
              <w:sym w:font="Symbol" w:char="F0B7"/>
            </w:r>
            <w:r w:rsidR="00890422" w:rsidRPr="00890422">
              <w:t xml:space="preserve"> </w:t>
            </w:r>
            <w:r w:rsidR="00890422" w:rsidRPr="001B4F93">
              <w:rPr>
                <w:b/>
                <w:bCs/>
              </w:rPr>
              <w:t>All residents will be able to achieve their full potential in employment, education, care and life chances</w:t>
            </w:r>
            <w:r w:rsidR="00890422" w:rsidRPr="00890422">
              <w:t xml:space="preserve">. </w:t>
            </w:r>
            <w:r w:rsidR="00890422" w:rsidRPr="00890422">
              <w:sym w:font="Symbol" w:char="F0B7"/>
            </w:r>
            <w:r w:rsidR="00890422" w:rsidRPr="00890422">
              <w:t xml:space="preserve"> All residents to be proud of Doncaster</w:t>
            </w:r>
            <w:r w:rsidR="00890422">
              <w:t xml:space="preserve"> (Health and Well</w:t>
            </w:r>
            <w:r w:rsidR="0096222A">
              <w:t xml:space="preserve"> </w:t>
            </w:r>
            <w:r w:rsidR="00890422">
              <w:t>Being Strategy 2016 – 2021)</w:t>
            </w:r>
          </w:p>
          <w:p w14:paraId="327BEE45" w14:textId="5D4250CA" w:rsidR="00525025" w:rsidRDefault="00525025" w:rsidP="006132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SHEFFIELD -</w:t>
            </w:r>
          </w:p>
          <w:p w14:paraId="564ADACF" w14:textId="426E41DB" w:rsidR="00525025" w:rsidRDefault="00525025" w:rsidP="006132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BASSETLAW -</w:t>
            </w:r>
          </w:p>
        </w:tc>
      </w:tr>
      <w:tr w:rsidR="00713C6F" w14:paraId="40271D08" w14:textId="77777777" w:rsidTr="007D4A37">
        <w:trPr>
          <w:trHeight w:val="861"/>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12C28B53" w14:textId="29694554" w:rsidR="00713C6F" w:rsidRPr="00B1201C" w:rsidRDefault="00713C6F" w:rsidP="00713C6F">
            <w:pPr>
              <w:rPr>
                <w:sz w:val="32"/>
                <w:szCs w:val="32"/>
              </w:rPr>
            </w:pPr>
            <w:r>
              <w:rPr>
                <w:sz w:val="32"/>
                <w:szCs w:val="32"/>
              </w:rPr>
              <w:t>Public Health England</w:t>
            </w:r>
          </w:p>
        </w:tc>
        <w:tc>
          <w:tcPr>
            <w:tcW w:w="13528" w:type="dxa"/>
            <w:gridSpan w:val="4"/>
            <w:shd w:val="clear" w:color="auto" w:fill="FFFFFF" w:themeFill="background1"/>
            <w:vAlign w:val="center"/>
          </w:tcPr>
          <w:p w14:paraId="2A086355" w14:textId="77777777" w:rsidR="00713C6F" w:rsidRDefault="00DB1D33" w:rsidP="00DB1D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B1D33">
              <w:t xml:space="preserve">Local authorities lead on place-based planning, bring together all of the local partners, work to a joint strategic needs assessment and through statutory health and wellbeing boards. The NHS Five Year Forward View recognises and supports this approach. PHE will provide the expertise and evidence to help understand the </w:t>
            </w:r>
            <w:r w:rsidRPr="001B4F93">
              <w:rPr>
                <w:b/>
                <w:bCs/>
              </w:rPr>
              <w:t>needs of the local population</w:t>
            </w:r>
            <w:r w:rsidRPr="00DB1D33">
              <w:t xml:space="preserve"> and will publish data against the Public Health Outcomes Framework to promote transparency and improvement</w:t>
            </w:r>
          </w:p>
          <w:p w14:paraId="277A4252" w14:textId="7C5011C3" w:rsidR="00DB1D33" w:rsidRDefault="00DB1D33" w:rsidP="00DB1D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B1D33">
              <w:t>The NHS Five Year Forward View sets out the need to get serious about prevention</w:t>
            </w:r>
            <w:r w:rsidRPr="001B4F93">
              <w:rPr>
                <w:b/>
                <w:bCs/>
              </w:rPr>
              <w:t xml:space="preserve">. Combining NHS and local </w:t>
            </w:r>
            <w:r w:rsidR="008627E7" w:rsidRPr="001B4F93">
              <w:rPr>
                <w:b/>
                <w:bCs/>
              </w:rPr>
              <w:t>authorities’</w:t>
            </w:r>
            <w:r w:rsidRPr="001B4F93">
              <w:rPr>
                <w:b/>
                <w:bCs/>
              </w:rPr>
              <w:t xml:space="preserve"> resources</w:t>
            </w:r>
            <w:r w:rsidRPr="00DB1D33">
              <w:t>, wherever appropriate, will help close the health, quality and financial gaps. The proposed move to funding local authorities from retained business rates signals the end of the public health ring-fenced grant. We will work with the government and local authorities to ensure the new arrangements provide fair funding between authorities</w:t>
            </w:r>
          </w:p>
          <w:p w14:paraId="0304FB57" w14:textId="77777777" w:rsidR="00DB1D33" w:rsidRDefault="00DB1D33" w:rsidP="00DB1D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B1D33">
              <w:t xml:space="preserve">The potential of devolution needs to be maximised to </w:t>
            </w:r>
            <w:r w:rsidRPr="001B4F93">
              <w:rPr>
                <w:b/>
                <w:bCs/>
              </w:rPr>
              <w:t>integrate services</w:t>
            </w:r>
            <w:r w:rsidRPr="00DB1D33">
              <w:t xml:space="preserve">, improve health outcomes and reduce health </w:t>
            </w:r>
            <w:r w:rsidRPr="001B4F93">
              <w:rPr>
                <w:b/>
                <w:bCs/>
              </w:rPr>
              <w:t>inequalities</w:t>
            </w:r>
            <w:r w:rsidRPr="00DB1D33">
              <w:t>. PHE will promote and support local government and local partners in the delivery of their vision</w:t>
            </w:r>
          </w:p>
          <w:p w14:paraId="6C666A73" w14:textId="77777777" w:rsidR="00DB1D33" w:rsidRDefault="00DB1D33" w:rsidP="00DB1D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B1D33">
              <w:t>Economic prosperity is at the heart of closing the health gap. Having a good job is good for your health and radiates wider benefits for children and families</w:t>
            </w:r>
            <w:r w:rsidRPr="001B4F93">
              <w:rPr>
                <w:b/>
                <w:bCs/>
              </w:rPr>
              <w:t>. PHE will support local authorities in their endeavours to create jobs for local people</w:t>
            </w:r>
          </w:p>
          <w:p w14:paraId="2AA81F64" w14:textId="78D4AB1F" w:rsidR="00DB1D33" w:rsidRDefault="00DB1D33" w:rsidP="00DB1D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B1D33">
              <w:t xml:space="preserve">Public expectations are changing dramatically due to developments in digital and data technologies and rapid changes in the way that people access information. There is enthusiasm for health-related apps, such as our own Sugar Smart app, across all ages. There is also the potential to analyse digital data flows to better understand the health, health needs and behaviours of populations and individuals, and the </w:t>
            </w:r>
            <w:r w:rsidR="001B4F93" w:rsidRPr="00DB1D33">
              <w:t>ultra-rapid</w:t>
            </w:r>
            <w:r w:rsidRPr="00DB1D33">
              <w:t>, accurate detection of micro-organisms is transforming infectious disease management</w:t>
            </w:r>
          </w:p>
          <w:p w14:paraId="4C67AB65" w14:textId="20111552" w:rsidR="00DB1D33" w:rsidRPr="00610948" w:rsidRDefault="00230E81" w:rsidP="00230E81">
            <w:pPr>
              <w:ind w:left="360"/>
              <w:cnfStyle w:val="000000000000" w:firstRow="0" w:lastRow="0" w:firstColumn="0" w:lastColumn="0" w:oddVBand="0" w:evenVBand="0" w:oddHBand="0" w:evenHBand="0" w:firstRowFirstColumn="0" w:firstRowLastColumn="0" w:lastRowFirstColumn="0" w:lastRowLastColumn="0"/>
            </w:pPr>
            <w:r w:rsidRPr="001B4F93">
              <w:rPr>
                <w:b/>
                <w:bCs/>
              </w:rPr>
              <w:t>PHE Yorkshire and Humber will support the development of a model to improve engagement and opportunities for Making Every Contact Count, including ambulance, fire and rescue services</w:t>
            </w:r>
            <w:r w:rsidR="001B4F93">
              <w:rPr>
                <w:b/>
                <w:bCs/>
              </w:rPr>
              <w:t xml:space="preserve"> </w:t>
            </w:r>
            <w:r w:rsidR="001B4F93" w:rsidRPr="001B4F93">
              <w:rPr>
                <w:b/>
                <w:bCs/>
              </w:rPr>
              <w:t>(Strategic Plan for the next Four Years, Public Health England April 2016)</w:t>
            </w:r>
            <w:r>
              <w:t xml:space="preserve"> </w:t>
            </w:r>
          </w:p>
        </w:tc>
      </w:tr>
      <w:tr w:rsidR="00713C6F" w14:paraId="4D873FED" w14:textId="77777777" w:rsidTr="007D4A3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349" w:type="dxa"/>
            <w:shd w:val="clear" w:color="auto" w:fill="2F5496" w:themeFill="accent1" w:themeFillShade="BF"/>
            <w:vAlign w:val="center"/>
          </w:tcPr>
          <w:p w14:paraId="0946F762" w14:textId="2DDB4637" w:rsidR="00713C6F" w:rsidRPr="00B1201C" w:rsidRDefault="00713C6F" w:rsidP="00713C6F">
            <w:pPr>
              <w:rPr>
                <w:sz w:val="32"/>
                <w:szCs w:val="32"/>
              </w:rPr>
            </w:pPr>
            <w:r w:rsidRPr="00B1201C">
              <w:rPr>
                <w:sz w:val="32"/>
                <w:szCs w:val="32"/>
              </w:rPr>
              <w:t>H</w:t>
            </w:r>
            <w:r>
              <w:rPr>
                <w:sz w:val="32"/>
                <w:szCs w:val="32"/>
              </w:rPr>
              <w:t xml:space="preserve">ealth </w:t>
            </w:r>
            <w:r w:rsidRPr="00B1201C">
              <w:rPr>
                <w:sz w:val="32"/>
                <w:szCs w:val="32"/>
              </w:rPr>
              <w:t>E</w:t>
            </w:r>
            <w:r>
              <w:rPr>
                <w:sz w:val="32"/>
                <w:szCs w:val="32"/>
              </w:rPr>
              <w:t xml:space="preserve">ducation </w:t>
            </w:r>
            <w:r w:rsidRPr="00B1201C">
              <w:rPr>
                <w:sz w:val="32"/>
                <w:szCs w:val="32"/>
              </w:rPr>
              <w:t>E</w:t>
            </w:r>
            <w:r>
              <w:rPr>
                <w:sz w:val="32"/>
                <w:szCs w:val="32"/>
              </w:rPr>
              <w:t>ngland</w:t>
            </w:r>
            <w:r w:rsidRPr="00B1201C">
              <w:rPr>
                <w:sz w:val="32"/>
                <w:szCs w:val="32"/>
              </w:rPr>
              <w:t xml:space="preserve"> </w:t>
            </w:r>
          </w:p>
        </w:tc>
        <w:tc>
          <w:tcPr>
            <w:tcW w:w="13528" w:type="dxa"/>
            <w:gridSpan w:val="4"/>
            <w:shd w:val="clear" w:color="auto" w:fill="FFFFFF" w:themeFill="background1"/>
            <w:vAlign w:val="center"/>
          </w:tcPr>
          <w:p w14:paraId="4DAFD64C" w14:textId="77777777" w:rsidR="00713C6F" w:rsidRDefault="00713C6F" w:rsidP="006132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rsidRPr="00610948">
              <w:t xml:space="preserve">Developing the Current SYB Workforce </w:t>
            </w:r>
          </w:p>
          <w:p w14:paraId="056363D3" w14:textId="77777777" w:rsidR="00713C6F" w:rsidRDefault="00713C6F" w:rsidP="006132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rsidRPr="00610948">
              <w:t xml:space="preserve">Increasing Future Supply </w:t>
            </w:r>
          </w:p>
          <w:p w14:paraId="09A9AE10" w14:textId="6DBCF72D" w:rsidR="00713C6F" w:rsidRDefault="00713C6F" w:rsidP="006132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rsidRPr="00610948">
              <w:t>Enabling and Aligning Effective Workforce Planning across Organisations, ACPs and ACS</w:t>
            </w:r>
          </w:p>
        </w:tc>
      </w:tr>
    </w:tbl>
    <w:p w14:paraId="783ADC7B" w14:textId="3D65C709" w:rsidR="00424ED3" w:rsidRDefault="00A033D7"/>
    <w:p w14:paraId="049181EF" w14:textId="575F7B10" w:rsidR="00E44F87" w:rsidRDefault="00E44F87"/>
    <w:tbl>
      <w:tblPr>
        <w:tblStyle w:val="GridTable5Dark-Accent51"/>
        <w:tblpPr w:leftFromText="180" w:rightFromText="180"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1"/>
        <w:gridCol w:w="4355"/>
        <w:gridCol w:w="4561"/>
      </w:tblGrid>
      <w:tr w:rsidR="0073294C" w14:paraId="64B24F64" w14:textId="77777777" w:rsidTr="002D7024">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586" w:type="dxa"/>
            <w:gridSpan w:val="2"/>
            <w:tcBorders>
              <w:top w:val="none" w:sz="0" w:space="0" w:color="auto"/>
              <w:left w:val="none" w:sz="0" w:space="0" w:color="auto"/>
              <w:right w:val="none" w:sz="0" w:space="0" w:color="auto"/>
            </w:tcBorders>
            <w:shd w:val="clear" w:color="auto" w:fill="2F5496" w:themeFill="accent1" w:themeFillShade="BF"/>
            <w:vAlign w:val="center"/>
          </w:tcPr>
          <w:p w14:paraId="5888C15C" w14:textId="77777777" w:rsidR="0073294C" w:rsidRPr="0049486A" w:rsidRDefault="0073294C" w:rsidP="0073294C">
            <w:pPr>
              <w:rPr>
                <w:sz w:val="32"/>
                <w:szCs w:val="32"/>
              </w:rPr>
            </w:pPr>
            <w:r w:rsidRPr="0049486A">
              <w:rPr>
                <w:sz w:val="32"/>
                <w:szCs w:val="32"/>
              </w:rPr>
              <w:t>Scale</w:t>
            </w:r>
          </w:p>
        </w:tc>
        <w:tc>
          <w:tcPr>
            <w:tcW w:w="4561" w:type="dxa"/>
            <w:tcBorders>
              <w:top w:val="none" w:sz="0" w:space="0" w:color="auto"/>
              <w:left w:val="none" w:sz="0" w:space="0" w:color="auto"/>
              <w:right w:val="none" w:sz="0" w:space="0" w:color="auto"/>
            </w:tcBorders>
            <w:shd w:val="clear" w:color="auto" w:fill="2F5496" w:themeFill="accent1" w:themeFillShade="BF"/>
            <w:vAlign w:val="center"/>
          </w:tcPr>
          <w:p w14:paraId="116EDA1D" w14:textId="77777777" w:rsidR="0073294C" w:rsidRPr="0049486A" w:rsidRDefault="0073294C" w:rsidP="0073294C">
            <w:pPr>
              <w:cnfStyle w:val="100000000000" w:firstRow="1" w:lastRow="0" w:firstColumn="0" w:lastColumn="0" w:oddVBand="0" w:evenVBand="0" w:oddHBand="0" w:evenHBand="0" w:firstRowFirstColumn="0" w:firstRowLastColumn="0" w:lastRowFirstColumn="0" w:lastRowLastColumn="0"/>
              <w:rPr>
                <w:sz w:val="32"/>
                <w:szCs w:val="32"/>
              </w:rPr>
            </w:pPr>
            <w:r w:rsidRPr="0049486A">
              <w:rPr>
                <w:sz w:val="32"/>
                <w:szCs w:val="32"/>
              </w:rPr>
              <w:t>Overall Rating</w:t>
            </w:r>
          </w:p>
        </w:tc>
      </w:tr>
      <w:tr w:rsidR="0073294C" w:rsidRPr="0049486A" w14:paraId="79FAAA5F" w14:textId="77777777" w:rsidTr="002D70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231" w:type="dxa"/>
            <w:tcBorders>
              <w:left w:val="none" w:sz="0" w:space="0" w:color="auto"/>
            </w:tcBorders>
            <w:shd w:val="clear" w:color="auto" w:fill="auto"/>
            <w:vAlign w:val="center"/>
          </w:tcPr>
          <w:p w14:paraId="279CACC3" w14:textId="77777777" w:rsidR="0073294C" w:rsidRPr="0049486A" w:rsidRDefault="0073294C" w:rsidP="0073294C">
            <w:pPr>
              <w:rPr>
                <w:color w:val="000000" w:themeColor="text1"/>
              </w:rPr>
            </w:pPr>
            <w:r w:rsidRPr="0049486A">
              <w:rPr>
                <w:color w:val="000000" w:themeColor="text1"/>
                <w:sz w:val="28"/>
                <w:szCs w:val="28"/>
              </w:rPr>
              <w:t xml:space="preserve">No of characteristics rated mature </w:t>
            </w:r>
          </w:p>
        </w:tc>
        <w:tc>
          <w:tcPr>
            <w:tcW w:w="4355" w:type="dxa"/>
            <w:shd w:val="clear" w:color="auto" w:fill="auto"/>
            <w:vAlign w:val="center"/>
          </w:tcPr>
          <w:p w14:paraId="409C6ADD" w14:textId="77777777" w:rsidR="0073294C" w:rsidRPr="0073294C" w:rsidRDefault="0073294C" w:rsidP="0073294C">
            <w:pP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73294C">
              <w:rPr>
                <w:b/>
                <w:bCs/>
                <w:color w:val="000000" w:themeColor="text1"/>
                <w:sz w:val="28"/>
                <w:szCs w:val="28"/>
              </w:rPr>
              <w:t>Maturity Level</w:t>
            </w:r>
          </w:p>
        </w:tc>
        <w:tc>
          <w:tcPr>
            <w:tcW w:w="4561" w:type="dxa"/>
            <w:vMerge w:val="restart"/>
            <w:shd w:val="clear" w:color="auto" w:fill="00B0F0"/>
            <w:vAlign w:val="center"/>
          </w:tcPr>
          <w:p w14:paraId="01A03415" w14:textId="37ECCD2E" w:rsidR="0073294C" w:rsidRPr="0073294C" w:rsidRDefault="0073294C" w:rsidP="00B57ED5">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p>
        </w:tc>
      </w:tr>
      <w:tr w:rsidR="0073294C" w:rsidRPr="0049486A" w14:paraId="2E47EFA8" w14:textId="77777777" w:rsidTr="002D7024">
        <w:trPr>
          <w:trHeight w:val="272"/>
        </w:trPr>
        <w:tc>
          <w:tcPr>
            <w:cnfStyle w:val="001000000000" w:firstRow="0" w:lastRow="0" w:firstColumn="1" w:lastColumn="0" w:oddVBand="0" w:evenVBand="0" w:oddHBand="0" w:evenHBand="0" w:firstRowFirstColumn="0" w:firstRowLastColumn="0" w:lastRowFirstColumn="0" w:lastRowLastColumn="0"/>
            <w:tcW w:w="6231" w:type="dxa"/>
            <w:tcBorders>
              <w:left w:val="none" w:sz="0" w:space="0" w:color="auto"/>
            </w:tcBorders>
            <w:shd w:val="clear" w:color="auto" w:fill="auto"/>
            <w:vAlign w:val="center"/>
          </w:tcPr>
          <w:p w14:paraId="2066E6D1" w14:textId="4E958C18" w:rsidR="0073294C" w:rsidRPr="0049486A" w:rsidRDefault="006C73D4" w:rsidP="0073294C">
            <w:pPr>
              <w:rPr>
                <w:color w:val="000000" w:themeColor="text1"/>
              </w:rPr>
            </w:pPr>
            <w:r>
              <w:rPr>
                <w:color w:val="000000" w:themeColor="text1"/>
              </w:rPr>
              <w:t xml:space="preserve">0 </w:t>
            </w:r>
            <w:r w:rsidR="0073294C">
              <w:rPr>
                <w:color w:val="000000" w:themeColor="text1"/>
              </w:rPr>
              <w:t>out of 5</w:t>
            </w:r>
          </w:p>
        </w:tc>
        <w:tc>
          <w:tcPr>
            <w:tcW w:w="4355" w:type="dxa"/>
            <w:shd w:val="clear" w:color="auto" w:fill="00B0F0"/>
            <w:vAlign w:val="center"/>
          </w:tcPr>
          <w:p w14:paraId="26B198F3" w14:textId="77777777" w:rsidR="0073294C" w:rsidRPr="0049486A" w:rsidRDefault="0073294C" w:rsidP="00732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Early</w:t>
            </w:r>
          </w:p>
        </w:tc>
        <w:tc>
          <w:tcPr>
            <w:tcW w:w="4561" w:type="dxa"/>
            <w:vMerge/>
            <w:shd w:val="clear" w:color="auto" w:fill="00B0F0"/>
            <w:vAlign w:val="center"/>
          </w:tcPr>
          <w:p w14:paraId="06455E86" w14:textId="77777777" w:rsidR="0073294C" w:rsidRPr="0049486A" w:rsidRDefault="0073294C" w:rsidP="0073294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3294C" w:rsidRPr="0049486A" w14:paraId="7770A8BB" w14:textId="77777777" w:rsidTr="002D702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231" w:type="dxa"/>
            <w:tcBorders>
              <w:left w:val="none" w:sz="0" w:space="0" w:color="auto"/>
            </w:tcBorders>
            <w:shd w:val="clear" w:color="auto" w:fill="auto"/>
            <w:vAlign w:val="center"/>
          </w:tcPr>
          <w:p w14:paraId="18C1C39F" w14:textId="34611E0A" w:rsidR="0073294C" w:rsidRPr="0049486A" w:rsidRDefault="006C73D4" w:rsidP="0073294C">
            <w:pPr>
              <w:rPr>
                <w:color w:val="000000" w:themeColor="text1"/>
              </w:rPr>
            </w:pPr>
            <w:r>
              <w:rPr>
                <w:color w:val="000000" w:themeColor="text1"/>
              </w:rPr>
              <w:t>0</w:t>
            </w:r>
            <w:r w:rsidR="0073294C">
              <w:rPr>
                <w:color w:val="000000" w:themeColor="text1"/>
              </w:rPr>
              <w:t xml:space="preserve"> out of 5</w:t>
            </w:r>
          </w:p>
        </w:tc>
        <w:tc>
          <w:tcPr>
            <w:tcW w:w="4355" w:type="dxa"/>
            <w:shd w:val="clear" w:color="auto" w:fill="FFFF00"/>
            <w:vAlign w:val="center"/>
          </w:tcPr>
          <w:p w14:paraId="5C7A5818" w14:textId="77777777" w:rsidR="0073294C" w:rsidRPr="0049486A" w:rsidRDefault="0073294C" w:rsidP="0073294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Developing</w:t>
            </w:r>
          </w:p>
        </w:tc>
        <w:tc>
          <w:tcPr>
            <w:tcW w:w="4561" w:type="dxa"/>
            <w:vMerge/>
            <w:shd w:val="clear" w:color="auto" w:fill="00B0F0"/>
            <w:vAlign w:val="center"/>
          </w:tcPr>
          <w:p w14:paraId="5C92666F" w14:textId="77777777" w:rsidR="0073294C" w:rsidRPr="0049486A" w:rsidRDefault="0073294C" w:rsidP="0073294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3294C" w:rsidRPr="0049486A" w14:paraId="21F01352" w14:textId="77777777" w:rsidTr="002D7024">
        <w:trPr>
          <w:trHeight w:val="272"/>
        </w:trPr>
        <w:tc>
          <w:tcPr>
            <w:cnfStyle w:val="001000000000" w:firstRow="0" w:lastRow="0" w:firstColumn="1" w:lastColumn="0" w:oddVBand="0" w:evenVBand="0" w:oddHBand="0" w:evenHBand="0" w:firstRowFirstColumn="0" w:firstRowLastColumn="0" w:lastRowFirstColumn="0" w:lastRowLastColumn="0"/>
            <w:tcW w:w="6231" w:type="dxa"/>
            <w:tcBorders>
              <w:left w:val="none" w:sz="0" w:space="0" w:color="auto"/>
            </w:tcBorders>
            <w:shd w:val="clear" w:color="auto" w:fill="auto"/>
            <w:vAlign w:val="center"/>
          </w:tcPr>
          <w:p w14:paraId="38060A2A" w14:textId="3AF4D323" w:rsidR="0073294C" w:rsidRPr="0049486A" w:rsidRDefault="006C73D4" w:rsidP="0073294C">
            <w:pPr>
              <w:rPr>
                <w:color w:val="000000" w:themeColor="text1"/>
              </w:rPr>
            </w:pPr>
            <w:r>
              <w:rPr>
                <w:color w:val="000000" w:themeColor="text1"/>
              </w:rPr>
              <w:t xml:space="preserve">0 </w:t>
            </w:r>
            <w:r w:rsidR="0073294C">
              <w:rPr>
                <w:color w:val="000000" w:themeColor="text1"/>
              </w:rPr>
              <w:t>out of 5</w:t>
            </w:r>
          </w:p>
        </w:tc>
        <w:tc>
          <w:tcPr>
            <w:tcW w:w="4355" w:type="dxa"/>
            <w:shd w:val="clear" w:color="auto" w:fill="FFC000"/>
            <w:vAlign w:val="center"/>
          </w:tcPr>
          <w:p w14:paraId="5AC0CD64" w14:textId="77777777" w:rsidR="0073294C" w:rsidRPr="0049486A" w:rsidRDefault="0073294C" w:rsidP="00732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Maturing</w:t>
            </w:r>
          </w:p>
        </w:tc>
        <w:tc>
          <w:tcPr>
            <w:tcW w:w="4561" w:type="dxa"/>
            <w:vMerge/>
            <w:shd w:val="clear" w:color="auto" w:fill="00B0F0"/>
            <w:vAlign w:val="center"/>
          </w:tcPr>
          <w:p w14:paraId="319450E4" w14:textId="77777777" w:rsidR="0073294C" w:rsidRPr="0049486A" w:rsidRDefault="0073294C" w:rsidP="0073294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3294C" w:rsidRPr="0049486A" w14:paraId="6936D6A9" w14:textId="77777777" w:rsidTr="002D702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231" w:type="dxa"/>
            <w:tcBorders>
              <w:left w:val="none" w:sz="0" w:space="0" w:color="auto"/>
              <w:bottom w:val="none" w:sz="0" w:space="0" w:color="auto"/>
            </w:tcBorders>
            <w:shd w:val="clear" w:color="auto" w:fill="auto"/>
            <w:vAlign w:val="center"/>
          </w:tcPr>
          <w:p w14:paraId="1221F820" w14:textId="085A226D" w:rsidR="0073294C" w:rsidRPr="0049486A" w:rsidRDefault="006C73D4" w:rsidP="0073294C">
            <w:pPr>
              <w:rPr>
                <w:color w:val="000000" w:themeColor="text1"/>
              </w:rPr>
            </w:pPr>
            <w:r>
              <w:rPr>
                <w:color w:val="000000" w:themeColor="text1"/>
              </w:rPr>
              <w:t>0</w:t>
            </w:r>
            <w:r w:rsidR="0073294C">
              <w:rPr>
                <w:color w:val="000000" w:themeColor="text1"/>
              </w:rPr>
              <w:t xml:space="preserve"> out of 5 </w:t>
            </w:r>
          </w:p>
        </w:tc>
        <w:tc>
          <w:tcPr>
            <w:tcW w:w="4355" w:type="dxa"/>
            <w:shd w:val="clear" w:color="auto" w:fill="65F56C"/>
            <w:vAlign w:val="center"/>
          </w:tcPr>
          <w:p w14:paraId="3C38941B" w14:textId="77777777" w:rsidR="0073294C" w:rsidRPr="0049486A" w:rsidRDefault="0073294C" w:rsidP="0073294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Mature</w:t>
            </w:r>
          </w:p>
        </w:tc>
        <w:tc>
          <w:tcPr>
            <w:tcW w:w="4561" w:type="dxa"/>
            <w:vMerge/>
            <w:shd w:val="clear" w:color="auto" w:fill="00B0F0"/>
            <w:vAlign w:val="center"/>
          </w:tcPr>
          <w:p w14:paraId="6196974A" w14:textId="77777777" w:rsidR="0073294C" w:rsidRPr="0049486A" w:rsidRDefault="0073294C" w:rsidP="0073294C">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CF5C940" w14:textId="77777777" w:rsidR="00E44F87" w:rsidRPr="0049486A" w:rsidRDefault="00E44F87">
      <w:pPr>
        <w:rPr>
          <w:color w:val="000000" w:themeColor="text1"/>
        </w:rPr>
      </w:pPr>
    </w:p>
    <w:sectPr w:rsidR="00E44F87" w:rsidRPr="0049486A" w:rsidSect="00B1201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449A" w14:textId="77777777" w:rsidR="00CC37BF" w:rsidRDefault="00CC37BF" w:rsidP="006C73D4">
      <w:pPr>
        <w:spacing w:after="0" w:line="240" w:lineRule="auto"/>
      </w:pPr>
      <w:r>
        <w:separator/>
      </w:r>
    </w:p>
  </w:endnote>
  <w:endnote w:type="continuationSeparator" w:id="0">
    <w:p w14:paraId="360338C2" w14:textId="77777777" w:rsidR="00CC37BF" w:rsidRDefault="00CC37BF" w:rsidP="006C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26E8" w14:textId="77777777" w:rsidR="00D941EB" w:rsidRDefault="00D9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802F" w14:textId="77777777" w:rsidR="00D941EB" w:rsidRDefault="00D94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2F70" w14:textId="77777777" w:rsidR="00D941EB" w:rsidRDefault="00D9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B32BE" w14:textId="77777777" w:rsidR="00CC37BF" w:rsidRDefault="00CC37BF" w:rsidP="006C73D4">
      <w:pPr>
        <w:spacing w:after="0" w:line="240" w:lineRule="auto"/>
      </w:pPr>
      <w:r>
        <w:separator/>
      </w:r>
    </w:p>
  </w:footnote>
  <w:footnote w:type="continuationSeparator" w:id="0">
    <w:p w14:paraId="12D5F2B5" w14:textId="77777777" w:rsidR="00CC37BF" w:rsidRDefault="00CC37BF" w:rsidP="006C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689B" w14:textId="0776DE17" w:rsidR="00D941EB" w:rsidRDefault="00A033D7">
    <w:pPr>
      <w:pStyle w:val="Header"/>
    </w:pPr>
    <w:r>
      <w:rPr>
        <w:noProof/>
      </w:rPr>
      <w:pict w14:anchorId="03059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F457" w14:textId="6D447F76" w:rsidR="00D941EB" w:rsidRDefault="00A033D7">
    <w:pPr>
      <w:pStyle w:val="Header"/>
    </w:pPr>
    <w:r>
      <w:rPr>
        <w:noProof/>
      </w:rPr>
      <w:pict w14:anchorId="10321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FD9C" w14:textId="6DF42107" w:rsidR="00D941EB" w:rsidRDefault="00A033D7">
    <w:pPr>
      <w:pStyle w:val="Header"/>
    </w:pPr>
    <w:r>
      <w:rPr>
        <w:noProof/>
      </w:rPr>
      <w:pict w14:anchorId="019C8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6E"/>
    <w:multiLevelType w:val="hybridMultilevel"/>
    <w:tmpl w:val="7EB8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12A43"/>
    <w:multiLevelType w:val="hybridMultilevel"/>
    <w:tmpl w:val="9F2CCACE"/>
    <w:lvl w:ilvl="0" w:tplc="0AA83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05A16"/>
    <w:multiLevelType w:val="hybridMultilevel"/>
    <w:tmpl w:val="AB40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71CCF"/>
    <w:multiLevelType w:val="hybridMultilevel"/>
    <w:tmpl w:val="CD2004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C5BD1"/>
    <w:multiLevelType w:val="hybridMultilevel"/>
    <w:tmpl w:val="D7A0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8049A"/>
    <w:multiLevelType w:val="hybridMultilevel"/>
    <w:tmpl w:val="FA181A7C"/>
    <w:lvl w:ilvl="0" w:tplc="4B8CB240">
      <w:start w:val="1"/>
      <w:numFmt w:val="decimal"/>
      <w:lvlText w:val="%1."/>
      <w:lvlJc w:val="left"/>
      <w:pPr>
        <w:ind w:left="720" w:hanging="360"/>
      </w:pPr>
      <w:rPr>
        <w:rFonts w:ascii="Arial" w:eastAsia="Helvetic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13C1F"/>
    <w:multiLevelType w:val="hybridMultilevel"/>
    <w:tmpl w:val="4D6A2C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D1481"/>
    <w:multiLevelType w:val="hybridMultilevel"/>
    <w:tmpl w:val="AFBE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D5D4A"/>
    <w:multiLevelType w:val="hybridMultilevel"/>
    <w:tmpl w:val="46049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592F53"/>
    <w:multiLevelType w:val="hybridMultilevel"/>
    <w:tmpl w:val="91E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80A0D"/>
    <w:multiLevelType w:val="hybridMultilevel"/>
    <w:tmpl w:val="A5B6C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50FD0"/>
    <w:multiLevelType w:val="hybridMultilevel"/>
    <w:tmpl w:val="A8CAF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1C3921"/>
    <w:multiLevelType w:val="hybridMultilevel"/>
    <w:tmpl w:val="ED98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115F5"/>
    <w:multiLevelType w:val="hybridMultilevel"/>
    <w:tmpl w:val="17A8EB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13366C"/>
    <w:multiLevelType w:val="hybridMultilevel"/>
    <w:tmpl w:val="017070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43022"/>
    <w:multiLevelType w:val="hybridMultilevel"/>
    <w:tmpl w:val="848A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017BB0"/>
    <w:multiLevelType w:val="hybridMultilevel"/>
    <w:tmpl w:val="FBE2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366CFF"/>
    <w:multiLevelType w:val="hybridMultilevel"/>
    <w:tmpl w:val="6086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980BD0"/>
    <w:multiLevelType w:val="hybridMultilevel"/>
    <w:tmpl w:val="37D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8071D"/>
    <w:multiLevelType w:val="hybridMultilevel"/>
    <w:tmpl w:val="4A3E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985AC7"/>
    <w:multiLevelType w:val="hybridMultilevel"/>
    <w:tmpl w:val="E760D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9D7A88"/>
    <w:multiLevelType w:val="hybridMultilevel"/>
    <w:tmpl w:val="E744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D0CFD"/>
    <w:multiLevelType w:val="hybridMultilevel"/>
    <w:tmpl w:val="FAD66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997D1D"/>
    <w:multiLevelType w:val="hybridMultilevel"/>
    <w:tmpl w:val="2DD257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9AE03C9"/>
    <w:multiLevelType w:val="hybridMultilevel"/>
    <w:tmpl w:val="BD8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17135"/>
    <w:multiLevelType w:val="hybridMultilevel"/>
    <w:tmpl w:val="98F477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BD0A8F"/>
    <w:multiLevelType w:val="hybridMultilevel"/>
    <w:tmpl w:val="9DCC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957D7"/>
    <w:multiLevelType w:val="hybridMultilevel"/>
    <w:tmpl w:val="523E7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5"/>
  </w:num>
  <w:num w:numId="5">
    <w:abstractNumId w:val="9"/>
  </w:num>
  <w:num w:numId="6">
    <w:abstractNumId w:val="14"/>
  </w:num>
  <w:num w:numId="7">
    <w:abstractNumId w:val="11"/>
  </w:num>
  <w:num w:numId="8">
    <w:abstractNumId w:val="7"/>
  </w:num>
  <w:num w:numId="9">
    <w:abstractNumId w:val="1"/>
  </w:num>
  <w:num w:numId="10">
    <w:abstractNumId w:val="0"/>
  </w:num>
  <w:num w:numId="11">
    <w:abstractNumId w:val="6"/>
  </w:num>
  <w:num w:numId="12">
    <w:abstractNumId w:val="18"/>
  </w:num>
  <w:num w:numId="13">
    <w:abstractNumId w:val="16"/>
  </w:num>
  <w:num w:numId="14">
    <w:abstractNumId w:val="26"/>
  </w:num>
  <w:num w:numId="15">
    <w:abstractNumId w:val="4"/>
  </w:num>
  <w:num w:numId="16">
    <w:abstractNumId w:val="25"/>
  </w:num>
  <w:num w:numId="17">
    <w:abstractNumId w:val="8"/>
  </w:num>
  <w:num w:numId="18">
    <w:abstractNumId w:val="12"/>
  </w:num>
  <w:num w:numId="19">
    <w:abstractNumId w:val="24"/>
  </w:num>
  <w:num w:numId="20">
    <w:abstractNumId w:val="22"/>
  </w:num>
  <w:num w:numId="21">
    <w:abstractNumId w:val="21"/>
  </w:num>
  <w:num w:numId="22">
    <w:abstractNumId w:val="17"/>
  </w:num>
  <w:num w:numId="23">
    <w:abstractNumId w:val="2"/>
  </w:num>
  <w:num w:numId="24">
    <w:abstractNumId w:val="10"/>
  </w:num>
  <w:num w:numId="25">
    <w:abstractNumId w:val="23"/>
  </w:num>
  <w:num w:numId="26">
    <w:abstractNumId w:val="13"/>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1C"/>
    <w:rsid w:val="0000443F"/>
    <w:rsid w:val="00017FF0"/>
    <w:rsid w:val="00095C05"/>
    <w:rsid w:val="000B7FA7"/>
    <w:rsid w:val="000F27CC"/>
    <w:rsid w:val="000F2922"/>
    <w:rsid w:val="000F60F4"/>
    <w:rsid w:val="00194347"/>
    <w:rsid w:val="001A7DB9"/>
    <w:rsid w:val="001B4F93"/>
    <w:rsid w:val="001D56EA"/>
    <w:rsid w:val="001D5E88"/>
    <w:rsid w:val="002100FF"/>
    <w:rsid w:val="00230E81"/>
    <w:rsid w:val="002C432B"/>
    <w:rsid w:val="002D7024"/>
    <w:rsid w:val="00307D44"/>
    <w:rsid w:val="00313C4D"/>
    <w:rsid w:val="0032793C"/>
    <w:rsid w:val="0033146F"/>
    <w:rsid w:val="003504F1"/>
    <w:rsid w:val="00355BE6"/>
    <w:rsid w:val="00377921"/>
    <w:rsid w:val="003B28A4"/>
    <w:rsid w:val="003E6086"/>
    <w:rsid w:val="003E6825"/>
    <w:rsid w:val="00403872"/>
    <w:rsid w:val="00404854"/>
    <w:rsid w:val="00411CD4"/>
    <w:rsid w:val="00414166"/>
    <w:rsid w:val="004549D5"/>
    <w:rsid w:val="004708A1"/>
    <w:rsid w:val="0049486A"/>
    <w:rsid w:val="004A24A3"/>
    <w:rsid w:val="004F1A08"/>
    <w:rsid w:val="00506417"/>
    <w:rsid w:val="00525025"/>
    <w:rsid w:val="005C64E0"/>
    <w:rsid w:val="005D46D1"/>
    <w:rsid w:val="005F6F50"/>
    <w:rsid w:val="00601FFB"/>
    <w:rsid w:val="00610948"/>
    <w:rsid w:val="0061327D"/>
    <w:rsid w:val="00623274"/>
    <w:rsid w:val="00627810"/>
    <w:rsid w:val="00656617"/>
    <w:rsid w:val="006740A4"/>
    <w:rsid w:val="006C73D4"/>
    <w:rsid w:val="0070589E"/>
    <w:rsid w:val="00713C6F"/>
    <w:rsid w:val="0073294C"/>
    <w:rsid w:val="007B08DD"/>
    <w:rsid w:val="007B7DED"/>
    <w:rsid w:val="007D4A37"/>
    <w:rsid w:val="007F6753"/>
    <w:rsid w:val="008059F6"/>
    <w:rsid w:val="00827F34"/>
    <w:rsid w:val="00843986"/>
    <w:rsid w:val="00845008"/>
    <w:rsid w:val="00846AE1"/>
    <w:rsid w:val="008627E7"/>
    <w:rsid w:val="00887E1E"/>
    <w:rsid w:val="00890422"/>
    <w:rsid w:val="00890658"/>
    <w:rsid w:val="008A0EDB"/>
    <w:rsid w:val="008A11D5"/>
    <w:rsid w:val="008C0E33"/>
    <w:rsid w:val="008C4642"/>
    <w:rsid w:val="008E51D6"/>
    <w:rsid w:val="0093161D"/>
    <w:rsid w:val="009360EE"/>
    <w:rsid w:val="0094211C"/>
    <w:rsid w:val="00950202"/>
    <w:rsid w:val="0096222A"/>
    <w:rsid w:val="00994BCC"/>
    <w:rsid w:val="009C1CBE"/>
    <w:rsid w:val="00A033D7"/>
    <w:rsid w:val="00A120DE"/>
    <w:rsid w:val="00A54291"/>
    <w:rsid w:val="00A854A6"/>
    <w:rsid w:val="00A9730C"/>
    <w:rsid w:val="00AA3F62"/>
    <w:rsid w:val="00AB00FB"/>
    <w:rsid w:val="00AC528D"/>
    <w:rsid w:val="00AC58DD"/>
    <w:rsid w:val="00B031BB"/>
    <w:rsid w:val="00B10330"/>
    <w:rsid w:val="00B1201C"/>
    <w:rsid w:val="00B36778"/>
    <w:rsid w:val="00B4609F"/>
    <w:rsid w:val="00B57ED5"/>
    <w:rsid w:val="00B60132"/>
    <w:rsid w:val="00BC3FD7"/>
    <w:rsid w:val="00C125B0"/>
    <w:rsid w:val="00C22B06"/>
    <w:rsid w:val="00C2346B"/>
    <w:rsid w:val="00C32D7C"/>
    <w:rsid w:val="00C852E0"/>
    <w:rsid w:val="00CC37BF"/>
    <w:rsid w:val="00D359FA"/>
    <w:rsid w:val="00D369A4"/>
    <w:rsid w:val="00D44A91"/>
    <w:rsid w:val="00D941EB"/>
    <w:rsid w:val="00DA0A13"/>
    <w:rsid w:val="00DB1D33"/>
    <w:rsid w:val="00DC0D8E"/>
    <w:rsid w:val="00E015D3"/>
    <w:rsid w:val="00E169BE"/>
    <w:rsid w:val="00E44F87"/>
    <w:rsid w:val="00E80434"/>
    <w:rsid w:val="00E972BC"/>
    <w:rsid w:val="00EB591F"/>
    <w:rsid w:val="00ED044E"/>
    <w:rsid w:val="00F560CB"/>
    <w:rsid w:val="00F6620B"/>
    <w:rsid w:val="00F7134E"/>
    <w:rsid w:val="00F7255E"/>
    <w:rsid w:val="00FA5749"/>
    <w:rsid w:val="00FE05BD"/>
    <w:rsid w:val="00FE6E7C"/>
    <w:rsid w:val="00FF28E1"/>
    <w:rsid w:val="00FF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7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B120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E4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E4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6C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D4"/>
  </w:style>
  <w:style w:type="paragraph" w:styleId="Footer">
    <w:name w:val="footer"/>
    <w:basedOn w:val="Normal"/>
    <w:link w:val="FooterChar"/>
    <w:uiPriority w:val="99"/>
    <w:unhideWhenUsed/>
    <w:rsid w:val="006C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D4"/>
  </w:style>
  <w:style w:type="paragraph" w:styleId="ListParagraph">
    <w:name w:val="List Paragraph"/>
    <w:basedOn w:val="Normal"/>
    <w:uiPriority w:val="34"/>
    <w:qFormat/>
    <w:rsid w:val="00C125B0"/>
    <w:pPr>
      <w:ind w:left="720"/>
      <w:contextualSpacing/>
    </w:pPr>
  </w:style>
  <w:style w:type="paragraph" w:styleId="NoSpacing">
    <w:name w:val="No Spacing"/>
    <w:uiPriority w:val="1"/>
    <w:qFormat/>
    <w:rsid w:val="00656617"/>
    <w:pPr>
      <w:spacing w:after="0" w:line="240" w:lineRule="auto"/>
    </w:pPr>
  </w:style>
  <w:style w:type="paragraph" w:styleId="BalloonText">
    <w:name w:val="Balloon Text"/>
    <w:basedOn w:val="Normal"/>
    <w:link w:val="BalloonTextChar"/>
    <w:uiPriority w:val="99"/>
    <w:semiHidden/>
    <w:unhideWhenUsed/>
    <w:rsid w:val="0093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B120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E4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E4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6C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D4"/>
  </w:style>
  <w:style w:type="paragraph" w:styleId="Footer">
    <w:name w:val="footer"/>
    <w:basedOn w:val="Normal"/>
    <w:link w:val="FooterChar"/>
    <w:uiPriority w:val="99"/>
    <w:unhideWhenUsed/>
    <w:rsid w:val="006C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D4"/>
  </w:style>
  <w:style w:type="paragraph" w:styleId="ListParagraph">
    <w:name w:val="List Paragraph"/>
    <w:basedOn w:val="Normal"/>
    <w:uiPriority w:val="34"/>
    <w:qFormat/>
    <w:rsid w:val="00C125B0"/>
    <w:pPr>
      <w:ind w:left="720"/>
      <w:contextualSpacing/>
    </w:pPr>
  </w:style>
  <w:style w:type="paragraph" w:styleId="NoSpacing">
    <w:name w:val="No Spacing"/>
    <w:uiPriority w:val="1"/>
    <w:qFormat/>
    <w:rsid w:val="00656617"/>
    <w:pPr>
      <w:spacing w:after="0" w:line="240" w:lineRule="auto"/>
    </w:pPr>
  </w:style>
  <w:style w:type="paragraph" w:styleId="BalloonText">
    <w:name w:val="Balloon Text"/>
    <w:basedOn w:val="Normal"/>
    <w:link w:val="BalloonTextChar"/>
    <w:uiPriority w:val="99"/>
    <w:semiHidden/>
    <w:unhideWhenUsed/>
    <w:rsid w:val="0093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93E31F2B</Template>
  <TotalTime>0</TotalTime>
  <Pages>3</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Haigh</dc:creator>
  <cp:lastModifiedBy>Taylor, Callum (SYREC Marketing and Communications)</cp:lastModifiedBy>
  <cp:revision>2</cp:revision>
  <cp:lastPrinted>2019-10-08T10:05:00Z</cp:lastPrinted>
  <dcterms:created xsi:type="dcterms:W3CDTF">2020-05-15T11:41:00Z</dcterms:created>
  <dcterms:modified xsi:type="dcterms:W3CDTF">2020-05-15T11:41:00Z</dcterms:modified>
</cp:coreProperties>
</file>